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 w:before="2" w:line="240" w:lineRule="auto"/>
        <w:ind w:left="10" w:right="0" w:hanging="10"/>
        <w:jc w:val="center"/>
        <w:rPr>
          <w:rFonts w:ascii="Cambria" w:cs="Cambria" w:eastAsia="Cambria" w:hAnsi="Cambria"/>
          <w:b w:val="1"/>
          <w:i w:val="0"/>
          <w:smallCaps w:val="0"/>
          <w:strike w:val="0"/>
          <w:color w:val="000000"/>
          <w:sz w:val="22"/>
          <w:szCs w:val="22"/>
          <w:u w:val="singl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single"/>
          <w:shd w:fill="auto" w:val="clear"/>
          <w:vertAlign w:val="baseline"/>
          <w:rtl w:val="0"/>
        </w:rPr>
        <w:t xml:space="preserve">GUIDE 619 – Recruitment Guidelines</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0" w:right="0" w:hanging="1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Initial Contact with Potential Participants</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990" w:right="0" w:hanging="27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When there has been no previous contact with a potential participant, care must be taken to ensure that the potential participant understands how the researcher acquired private information about them, and that the information was obtained in a legitimate manner. For example, if the participant was referred to the researcher by the individual’s physician or other treating health care professional, the researcher can cite that referral as a reason for the contact.</w:t>
      </w:r>
    </w:p>
    <w:p w:rsidR="00000000" w:rsidDel="00000000" w:rsidP="00000000" w:rsidRDefault="00000000" w:rsidRPr="00000000" w14:paraId="0000000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990" w:right="0" w:hanging="27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Extreme caution should be exercised when potential participants are identified through chart reviews or under a Waiver of HIPAA Authorization for recruitment, as these avenues to PHI are less familiar to participants, and can lead to complaints when misconstrued as illegal use of PHI. In these cases, the researcher might first consider sending a letter to participants, signed by a health care provider or hospital department that would be recognizable to the potential participant, and providing a telephone number or other means that the potential subject can use to verify that the study constitutes the University of Hawaii HSP research.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The Principal Investigator must consider all the following elements when planning recruitment: </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990" w:right="0" w:hanging="27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Purposes of the research </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990" w:right="0" w:hanging="27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Inclusion/exclusion criteria </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990" w:right="0" w:hanging="27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Whether participants may be susceptible to coercion or undue influence </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990" w:right="0" w:hanging="27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Whether a population that stands no chance of benefiting is being selected to assume the risk</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990" w:right="0" w:hanging="27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Recruitment methods and materials</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990" w:right="0" w:hanging="27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Payment arrangements</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990" w:right="0" w:hanging="27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Research environment</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990" w:right="0" w:hanging="27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Timing of the consent process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Recruiting special subject populations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Vulnerable participants: </w:t>
      </w:r>
    </w:p>
    <w:p w:rsidR="00000000" w:rsidDel="00000000" w:rsidP="00000000" w:rsidRDefault="00000000" w:rsidRPr="00000000" w14:paraId="0000001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990" w:right="0" w:hanging="27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Provide a rationale for involvement of vulnerable subjects, such as children, prisoners, pregnant women, economically and educationally disadvantaged, decisionally impaired, and homeless people, and </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990" w:right="0" w:hanging="27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Address why a less vulnerable population would not serve as well. Children:</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990" w:right="0" w:hanging="27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Explain whether enrollment is limited to children. Research that limits enrollment to children is generally not appropriate unless</w:t>
      </w:r>
    </w:p>
    <w:p w:rsidR="00000000" w:rsidDel="00000000" w:rsidP="00000000" w:rsidRDefault="00000000" w:rsidRPr="00000000" w14:paraId="0000001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260" w:right="0" w:hanging="27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condition or disease is limited to children, or</w:t>
      </w:r>
    </w:p>
    <w:p w:rsidR="00000000" w:rsidDel="00000000" w:rsidP="00000000" w:rsidRDefault="00000000" w:rsidRPr="00000000" w14:paraId="0000001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260" w:right="0" w:hanging="27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research seeks to obtain information on a test article or procedure that previously had been studied only in adults.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Members of minority groups:</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990" w:right="0" w:hanging="27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Explain whether the research holds out the prospect of benefit to individual subjects or the groups to which they belong, and</w:t>
      </w:r>
    </w:p>
    <w:p w:rsidR="00000000" w:rsidDel="00000000" w:rsidP="00000000" w:rsidRDefault="00000000" w:rsidRPr="00000000" w14:paraId="0000001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990" w:right="0" w:hanging="27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How non-English speaking participants will be consented.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University of Hawaii employees or students:</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990" w:right="0" w:hanging="27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Explain how they will be protected from coercion and undue influence, and</w:t>
      </w:r>
    </w:p>
    <w:p w:rsidR="00000000" w:rsidDel="00000000" w:rsidP="00000000" w:rsidRDefault="00000000" w:rsidRPr="00000000" w14:paraId="0000001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990" w:right="0" w:hanging="27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alternatives to participation exist? </w:t>
      </w:r>
    </w:p>
    <w:p w:rsidR="00000000" w:rsidDel="00000000" w:rsidP="00000000" w:rsidRDefault="00000000" w:rsidRPr="00000000" w14:paraId="0000001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990" w:right="0" w:hanging="27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One recruitment strategy is to advertise for participants generally such as posting notices in the school or department rather than recruiting individual students directly.  </w:t>
      </w:r>
    </w:p>
    <w:p w:rsidR="00000000" w:rsidDel="00000000" w:rsidP="00000000" w:rsidRDefault="00000000" w:rsidRPr="00000000" w14:paraId="0000002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990" w:right="0" w:hanging="27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Requiring participation in research in a course or for extra credit is common in the social and behavioral sciences.  If participation in research is a course requirement or if extra credit is offered, students must be informed of non-research alternatives involving comparable time and effort to fulfill that requirement or obtain extra credit in order for the possibility of undue influence to be minimized.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Pr>
        <w:footnoteReference w:customMarkFollows="0" w:id="0"/>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Moreover, students must not be penalized for refusing to participate in research.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Excluding women and certain other types of participant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Explain whether it is justified by:</w:t>
      </w:r>
    </w:p>
    <w:p w:rsidR="00000000" w:rsidDel="00000000" w:rsidP="00000000" w:rsidRDefault="00000000" w:rsidRPr="00000000" w14:paraId="0000002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990" w:right="0" w:hanging="27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Physiology, e.g. treatment for prostate cancer;</w:t>
      </w:r>
    </w:p>
    <w:p w:rsidR="00000000" w:rsidDel="00000000" w:rsidP="00000000" w:rsidRDefault="00000000" w:rsidRPr="00000000" w14:paraId="0000002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990" w:right="0" w:hanging="27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Cultural prohibitions, e.g. one-to-one interviews of women in a situation where that might be construed as morally unacceptable;</w:t>
      </w:r>
    </w:p>
    <w:p w:rsidR="00000000" w:rsidDel="00000000" w:rsidP="00000000" w:rsidRDefault="00000000" w:rsidRPr="00000000" w14:paraId="0000002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990" w:right="0" w:hanging="27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Childbearing potential, when women are not able to use reliable birth control methods for religious or other reasons and might have to be excluded from early Phase I studies of toxic chemical agents;</w:t>
      </w:r>
    </w:p>
    <w:p w:rsidR="00000000" w:rsidDel="00000000" w:rsidP="00000000" w:rsidRDefault="00000000" w:rsidRPr="00000000" w14:paraId="0000002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990" w:right="0" w:hanging="27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Other reasons to be considered by the IRB.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Advertisements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see Guide 620 Appropriate Language for Recruitment Material Advertisements</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Payment to participants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When proposing payment, there must be justification to:</w:t>
      </w:r>
    </w:p>
    <w:p w:rsidR="00000000" w:rsidDel="00000000" w:rsidP="00000000" w:rsidRDefault="00000000" w:rsidRPr="00000000" w14:paraId="0000002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990" w:right="0" w:hanging="27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Substantiate that proposed payments are reasonable and commensurate with the expected contributions of the subject;</w:t>
      </w:r>
    </w:p>
    <w:p w:rsidR="00000000" w:rsidDel="00000000" w:rsidP="00000000" w:rsidRDefault="00000000" w:rsidRPr="00000000" w14:paraId="0000002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990" w:right="0" w:hanging="27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State the terms of the subject participation agreement and the amount of payment in the informed consent form; and</w:t>
      </w:r>
    </w:p>
    <w:p w:rsidR="00000000" w:rsidDel="00000000" w:rsidP="00000000" w:rsidRDefault="00000000" w:rsidRPr="00000000" w14:paraId="0000002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990" w:right="0" w:hanging="27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Substantiate that subject payments are fair and appropriate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that they do not constitute (or appear to constitute) undue pressure on the subject to volunteer for the research study. </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Drawings for prizes, lotteries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2"/>
          <w:szCs w:val="22"/>
          <w:rtl w:val="0"/>
        </w:rPr>
        <w:t xml:space="preserve">The University of Hawaii does not allow use of lotteries, raffles or drawings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sz w:val="22"/>
          <w:szCs w:val="22"/>
          <w:rtl w:val="0"/>
        </w:rPr>
        <w:t xml:space="preserve">as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compensation for participation in research.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2"/>
          <w:szCs w:val="22"/>
          <w:rtl w:val="0"/>
        </w:rPr>
        <w:t xml:space="preserve">Any compensation for participation, needs to be as equitable as possible, among all study participants.</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Recruitment material to submit for IRB review</w:t>
      </w:r>
      <w:r w:rsidDel="00000000" w:rsidR="00000000" w:rsidRPr="00000000">
        <w:rPr>
          <w:rtl w:val="0"/>
        </w:rPr>
      </w:r>
    </w:p>
    <w:p w:rsidR="00000000" w:rsidDel="00000000" w:rsidP="00000000" w:rsidRDefault="00000000" w:rsidRPr="00000000" w14:paraId="0000003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Audio and video tape: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IRB may review and approve the wording prior to taping in order to preclude re-taping due to inappropriate wording, with expedited review of final broadcast-ready tape.</w:t>
      </w:r>
    </w:p>
    <w:p w:rsidR="00000000" w:rsidDel="00000000" w:rsidP="00000000" w:rsidRDefault="00000000" w:rsidRPr="00000000" w14:paraId="0000003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Printed advertisement: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IRB will review the final copy to evaluate visual effects of materials.</w:t>
      </w:r>
    </w:p>
    <w:p w:rsidR="00000000" w:rsidDel="00000000" w:rsidP="00000000" w:rsidRDefault="00000000" w:rsidRPr="00000000" w14:paraId="0000003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Telephone: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IRB will review the phone scripts to determine whether the information collected constitutes the minimum necessary to establish basic eligibility for the specific study. Sample phone scripts are provided on the Human Subjects Research website Recruitment page.</w:t>
      </w:r>
    </w:p>
    <w:p w:rsidR="00000000" w:rsidDel="00000000" w:rsidP="00000000" w:rsidRDefault="00000000" w:rsidRPr="00000000" w14:paraId="0000003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Internet and web postings: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IRB will review the final draft to evaluate wording and visual effects.</w:t>
      </w:r>
    </w:p>
    <w:p w:rsidR="00000000" w:rsidDel="00000000" w:rsidP="00000000" w:rsidRDefault="00000000" w:rsidRPr="00000000" w14:paraId="0000003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Listings on clinicaltrials.gov</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do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not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require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IRB review</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Not allowed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following activities are examined carefully and generally not allowed:</w:t>
      </w:r>
    </w:p>
    <w:p w:rsidR="00000000" w:rsidDel="00000000" w:rsidP="00000000" w:rsidRDefault="00000000" w:rsidRPr="00000000" w14:paraId="0000003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Payment from research participants</w:t>
      </w:r>
    </w:p>
    <w:p w:rsidR="00000000" w:rsidDel="00000000" w:rsidP="00000000" w:rsidRDefault="00000000" w:rsidRPr="00000000" w14:paraId="0000004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Compensation for participation in the form of a coupon for a discount on the test article to be used after the product has been approved for marketing.</w:t>
      </w:r>
    </w:p>
    <w:p w:rsidR="00000000" w:rsidDel="00000000" w:rsidP="00000000" w:rsidRDefault="00000000" w:rsidRPr="00000000" w14:paraId="0000004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Exculpatory language through which the participant or participant’s LAR is made to waive or appear to waive any of the participant’s legal rights, or releases or appears to release the investigator , the sponsor, the institution or its agents from liability for negligence.</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Resources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Federal Agency</w:t>
      </w:r>
    </w:p>
    <w:p w:rsidR="00000000" w:rsidDel="00000000" w:rsidP="00000000" w:rsidRDefault="00000000" w:rsidRPr="00000000" w14:paraId="00000045">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170"/>
        </w:tabs>
        <w:spacing w:after="0" w:before="0" w:line="276" w:lineRule="auto"/>
        <w:ind w:left="144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45 CFR 46.111(a)(3); 45 CFR 46.116 </w:t>
      </w:r>
    </w:p>
    <w:p w:rsidR="00000000" w:rsidDel="00000000" w:rsidP="00000000" w:rsidRDefault="00000000" w:rsidRPr="00000000" w14:paraId="00000046">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170"/>
        </w:tabs>
        <w:spacing w:after="0" w:before="0" w:line="276" w:lineRule="auto"/>
        <w:ind w:left="144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OHRP Guidance on Written IRB Procedures</w:t>
      </w:r>
    </w:p>
    <w:p w:rsidR="00000000" w:rsidDel="00000000" w:rsidP="00000000" w:rsidRDefault="00000000" w:rsidRPr="00000000" w14:paraId="00000047">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170"/>
        </w:tabs>
        <w:spacing w:after="0" w:before="0" w:line="276" w:lineRule="auto"/>
        <w:ind w:left="144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OHRP Compliance Activities: Common Findings and Guidance #3, #45 and #65</w:t>
      </w:r>
    </w:p>
    <w:p w:rsidR="00000000" w:rsidDel="00000000" w:rsidP="00000000" w:rsidRDefault="00000000" w:rsidRPr="00000000" w14:paraId="00000048">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170"/>
        </w:tabs>
        <w:spacing w:after="0" w:before="0" w:line="276" w:lineRule="auto"/>
        <w:ind w:left="144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21 CFR 50.20; 21 CFR 56.111(a)(3)</w:t>
      </w:r>
    </w:p>
    <w:p w:rsidR="00000000" w:rsidDel="00000000" w:rsidP="00000000" w:rsidRDefault="00000000" w:rsidRPr="00000000" w14:paraId="00000049">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170"/>
        </w:tabs>
        <w:spacing w:after="0" w:before="0" w:line="276" w:lineRule="auto"/>
        <w:ind w:left="1170" w:right="0" w:hanging="45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FDA Information Sheets: FAQs: Informed Consent Document Content, FAQs: IRB Organization, A Guide to Informed Consent, Recruiting Study Subjects, Payment to Research Subjects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left" w:pos="1170"/>
        </w:tabs>
        <w:spacing w:after="0" w:before="0" w:line="276" w:lineRule="auto"/>
        <w:ind w:left="14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left" w:pos="1170"/>
        </w:tabs>
        <w:spacing w:after="0" w:before="0" w:line="276" w:lineRule="auto"/>
        <w:ind w:left="144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UH HSP </w:t>
      </w:r>
    </w:p>
    <w:p w:rsidR="00000000" w:rsidDel="00000000" w:rsidP="00000000" w:rsidRDefault="00000000" w:rsidRPr="00000000" w14:paraId="0000004C">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170"/>
        </w:tabs>
        <w:spacing w:after="0" w:before="0" w:line="276" w:lineRule="auto"/>
        <w:ind w:left="1170" w:right="0" w:hanging="45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GUIDE 620 Advertisements: Appropriate Language for Recruitment Material</w:t>
      </w:r>
    </w:p>
    <w:p w:rsidR="00000000" w:rsidDel="00000000" w:rsidP="00000000" w:rsidRDefault="00000000" w:rsidRPr="00000000" w14:paraId="0000004D">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170"/>
        </w:tabs>
        <w:spacing w:after="10" w:before="0" w:line="276" w:lineRule="auto"/>
        <w:ind w:left="1170" w:right="0" w:hanging="45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General Policy Manual 207 Participant Recruitment and Selection</w:t>
      </w:r>
    </w:p>
    <w:p w:rsidR="00000000" w:rsidDel="00000000" w:rsidP="00000000" w:rsidRDefault="00000000" w:rsidRPr="00000000" w14:paraId="0000004E">
      <w:pPr>
        <w:tabs>
          <w:tab w:val="left" w:pos="1170"/>
        </w:tabs>
        <w:spacing w:line="276"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4F">
      <w:pPr>
        <w:tabs>
          <w:tab w:val="left" w:pos="1170"/>
        </w:tabs>
        <w:spacing w:line="276" w:lineRule="auto"/>
        <w:ind w:left="720" w:firstLine="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The IRB has and follows written policies and procedures to review proposed participant recruitment methods, advertising materials, and payment arrangements and determines whether such arrangements are fair, accurate, and appropriate. (AAHRPP Element II.3.C.1)</w:t>
      </w:r>
    </w:p>
    <w:sectPr>
      <w:footerReference r:id="rId8" w:type="default"/>
      <w:footerReference r:id="rId9" w:type="first"/>
      <w:footerReference r:id="rId10" w:type="even"/>
      <w:pgSz w:h="15840" w:w="12240" w:orient="portrait"/>
      <w:pgMar w:bottom="1008" w:top="1008" w:left="1008" w:right="1008" w:header="720" w:footer="10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widowControl w:val="1"/>
      <w:pBdr>
        <w:top w:color="622423" w:space="1" w:sz="24" w:val="single"/>
        <w:left w:space="0" w:sz="0" w:val="nil"/>
        <w:bottom w:space="0" w:sz="0" w:val="nil"/>
        <w:right w:space="0" w:sz="0" w:val="nil"/>
        <w:between w:space="0" w:sz="0" w:val="nil"/>
      </w:pBdr>
      <w:shd w:fill="auto" w:val="clear"/>
      <w:tabs>
        <w:tab w:val="center" w:pos="4320"/>
        <w:tab w:val="right" w:pos="8640"/>
        <w:tab w:val="right" w:pos="9360"/>
      </w:tabs>
      <w:spacing w:after="2" w:before="2"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GUIDE 619 Recruitment Guidelines</w:t>
    </w:r>
  </w:p>
  <w:p w:rsidR="00000000" w:rsidDel="00000000" w:rsidP="00000000" w:rsidRDefault="00000000" w:rsidRPr="00000000" w14:paraId="00000052">
    <w:pPr>
      <w:keepNext w:val="0"/>
      <w:keepLines w:val="0"/>
      <w:widowControl w:val="1"/>
      <w:pBdr>
        <w:top w:color="622423" w:space="1" w:sz="24" w:val="single"/>
        <w:left w:space="0" w:sz="0" w:val="nil"/>
        <w:bottom w:space="0" w:sz="0" w:val="nil"/>
        <w:right w:space="0" w:sz="0" w:val="nil"/>
        <w:between w:space="0" w:sz="0" w:val="nil"/>
      </w:pBdr>
      <w:shd w:fill="auto" w:val="clear"/>
      <w:tabs>
        <w:tab w:val="center" w:pos="4320"/>
        <w:tab w:val="right" w:pos="8640"/>
        <w:tab w:val="right" w:pos="9360"/>
      </w:tabs>
      <w:spacing w:after="2" w:before="2"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AAHRPP Element II.3.C.1.                                                     </w:t>
      <w:tab/>
      <w:t xml:space="preserve">        </w:t>
    </w:r>
  </w:p>
  <w:p w:rsidR="00000000" w:rsidDel="00000000" w:rsidP="00000000" w:rsidRDefault="00000000" w:rsidRPr="00000000" w14:paraId="00000053">
    <w:pPr>
      <w:keepNext w:val="0"/>
      <w:keepLines w:val="0"/>
      <w:widowControl w:val="1"/>
      <w:pBdr>
        <w:top w:color="622423" w:space="1" w:sz="24" w:val="single"/>
        <w:left w:space="0" w:sz="0" w:val="nil"/>
        <w:bottom w:space="0" w:sz="0" w:val="nil"/>
        <w:right w:space="0" w:sz="0" w:val="nil"/>
        <w:between w:space="0" w:sz="0" w:val="nil"/>
      </w:pBdr>
      <w:shd w:fill="auto" w:val="clear"/>
      <w:tabs>
        <w:tab w:val="center" w:pos="4320"/>
        <w:tab w:val="right" w:pos="8640"/>
        <w:tab w:val="right" w:pos="9360"/>
      </w:tabs>
      <w:spacing w:after="2" w:before="2" w:line="240" w:lineRule="auto"/>
      <w:ind w:left="0" w:right="0" w:firstLine="0"/>
      <w:jc w:val="righ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University of Hawai'i Human Studies Program </w:t>
    </w:r>
  </w:p>
  <w:p w:rsidR="00000000" w:rsidDel="00000000" w:rsidP="00000000" w:rsidRDefault="00000000" w:rsidRPr="00000000" w14:paraId="00000054">
    <w:pPr>
      <w:keepNext w:val="0"/>
      <w:keepLines w:val="0"/>
      <w:widowControl w:val="1"/>
      <w:pBdr>
        <w:top w:color="622423" w:space="1" w:sz="24" w:val="single"/>
        <w:left w:space="0" w:sz="0" w:val="nil"/>
        <w:bottom w:space="0" w:sz="0" w:val="nil"/>
        <w:right w:space="0" w:sz="0" w:val="nil"/>
        <w:between w:space="0" w:sz="0" w:val="nil"/>
      </w:pBdr>
      <w:shd w:fill="auto" w:val="clear"/>
      <w:tabs>
        <w:tab w:val="center" w:pos="4320"/>
        <w:tab w:val="right" w:pos="8640"/>
        <w:tab w:val="right" w:pos="9360"/>
      </w:tabs>
      <w:spacing w:after="2" w:before="2" w:line="240" w:lineRule="auto"/>
      <w:ind w:left="0" w:right="0" w:firstLine="0"/>
      <w:jc w:val="lef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ab/>
      <w:tab/>
      <w:t xml:space="preserve">                                                                                                  (808) 956-5007, </w:t>
    </w:r>
    <w:hyperlink r:id="rId1">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uhirb@hawaii.edu</w:t>
      </w:r>
    </w:hyperlink>
    <w:r w:rsidDel="00000000" w:rsidR="00000000" w:rsidRPr="00000000">
      <w:rPr>
        <w:rtl w:val="0"/>
      </w:rPr>
    </w:r>
  </w:p>
  <w:p w:rsidR="00000000" w:rsidDel="00000000" w:rsidP="00000000" w:rsidRDefault="00000000" w:rsidRPr="00000000" w14:paraId="00000055">
    <w:pPr>
      <w:keepNext w:val="0"/>
      <w:keepLines w:val="0"/>
      <w:widowControl w:val="1"/>
      <w:pBdr>
        <w:top w:color="622423" w:space="1" w:sz="24" w:val="single"/>
        <w:left w:space="0" w:sz="0" w:val="nil"/>
        <w:bottom w:space="0" w:sz="0" w:val="nil"/>
        <w:right w:space="0" w:sz="0" w:val="nil"/>
        <w:between w:space="0" w:sz="0" w:val="nil"/>
      </w:pBdr>
      <w:shd w:fill="auto" w:val="clear"/>
      <w:tabs>
        <w:tab w:val="center" w:pos="4320"/>
        <w:tab w:val="right" w:pos="8640"/>
        <w:tab w:val="center" w:pos="5112"/>
        <w:tab w:val="right" w:pos="9360"/>
      </w:tabs>
      <w:spacing w:after="2" w:before="2"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tab/>
      <w:t xml:space="preserve">Page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spacing w:after="255" w:line="259" w:lineRule="auto"/>
      <w:ind w:left="0" w:firstLine="0"/>
      <w:rPr/>
    </w:pPr>
    <w:r w:rsidDel="00000000" w:rsidR="00000000" w:rsidRPr="00000000">
      <w:rPr>
        <w:sz w:val="20"/>
        <w:szCs w:val="20"/>
        <w:rtl w:val="0"/>
      </w:rPr>
      <w:t xml:space="preserve">Clinical Research Protocol Guidelines (v.3/4-24-12)</w:t>
    </w: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57">
    <w:pPr>
      <w:spacing w:after="0" w:line="259" w:lineRule="auto"/>
      <w:ind w:left="0" w:firstLine="0"/>
      <w:rPr/>
    </w:pPr>
    <w:r w:rsidDel="00000000" w:rsidR="00000000" w:rsidRPr="00000000">
      <w:rPr>
        <w:sz w:val="22"/>
        <w:szCs w:val="22"/>
        <w:rtl w:val="0"/>
      </w:rPr>
      <w:t xml:space="preserve"> </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spacing w:after="255" w:line="259" w:lineRule="auto"/>
      <w:ind w:left="0" w:firstLine="0"/>
      <w:rPr/>
    </w:pPr>
    <w:r w:rsidDel="00000000" w:rsidR="00000000" w:rsidRPr="00000000">
      <w:rPr>
        <w:sz w:val="20"/>
        <w:szCs w:val="20"/>
        <w:rtl w:val="0"/>
      </w:rPr>
      <w:t xml:space="preserve">Clinical Research Protocol Guidelines (v.3/4-24-12)</w:t>
    </w: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59">
    <w:pPr>
      <w:spacing w:after="0" w:line="259" w:lineRule="auto"/>
      <w:ind w:left="0" w:firstLine="0"/>
      <w:rPr/>
    </w:pPr>
    <w:r w:rsidDel="00000000" w:rsidR="00000000" w:rsidRPr="00000000">
      <w:rPr>
        <w:sz w:val="22"/>
        <w:szCs w:val="22"/>
        <w:rtl w:val="0"/>
      </w:rPr>
      <w:t xml:space="preserve"> </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single"/>
          <w:shd w:fill="auto" w:val="clear"/>
          <w:vertAlign w:val="baseline"/>
          <w:rtl w:val="0"/>
        </w:rPr>
        <w:t xml:space="preserve">What Constitutes Coercion or Undue Influence when Students Are Involved in Research in a College or University Setting?</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HHS, http://answers.hhs.gov/ohrp/questions/7253 (last reviewed Mar. 24, 2011).</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5">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6">
    <w:lvl w:ilvl="0">
      <w:start w:val="1"/>
      <w:numFmt w:val="bullet"/>
      <w:lvlText w:val="●"/>
      <w:lvlJc w:val="left"/>
      <w:pPr>
        <w:ind w:left="1530" w:hanging="360"/>
      </w:pPr>
      <w:rPr>
        <w:rFonts w:ascii="Noto Sans Symbols" w:cs="Noto Sans Symbols" w:eastAsia="Noto Sans Symbols" w:hAnsi="Noto Sans Symbols"/>
      </w:rPr>
    </w:lvl>
    <w:lvl w:ilvl="1">
      <w:start w:val="1"/>
      <w:numFmt w:val="bullet"/>
      <w:lvlText w:val="o"/>
      <w:lvlJc w:val="left"/>
      <w:pPr>
        <w:ind w:left="2250" w:hanging="360"/>
      </w:pPr>
      <w:rPr>
        <w:rFonts w:ascii="Courier New" w:cs="Courier New" w:eastAsia="Courier New" w:hAnsi="Courier New"/>
      </w:rPr>
    </w:lvl>
    <w:lvl w:ilvl="2">
      <w:start w:val="1"/>
      <w:numFmt w:val="bullet"/>
      <w:lvlText w:val="▪"/>
      <w:lvlJc w:val="left"/>
      <w:pPr>
        <w:ind w:left="2970" w:hanging="360"/>
      </w:pPr>
      <w:rPr>
        <w:rFonts w:ascii="Noto Sans Symbols" w:cs="Noto Sans Symbols" w:eastAsia="Noto Sans Symbols" w:hAnsi="Noto Sans Symbols"/>
      </w:rPr>
    </w:lvl>
    <w:lvl w:ilvl="3">
      <w:start w:val="1"/>
      <w:numFmt w:val="bullet"/>
      <w:lvlText w:val="●"/>
      <w:lvlJc w:val="left"/>
      <w:pPr>
        <w:ind w:left="3690" w:hanging="360"/>
      </w:pPr>
      <w:rPr>
        <w:rFonts w:ascii="Noto Sans Symbols" w:cs="Noto Sans Symbols" w:eastAsia="Noto Sans Symbols" w:hAnsi="Noto Sans Symbols"/>
      </w:rPr>
    </w:lvl>
    <w:lvl w:ilvl="4">
      <w:start w:val="1"/>
      <w:numFmt w:val="bullet"/>
      <w:lvlText w:val="o"/>
      <w:lvlJc w:val="left"/>
      <w:pPr>
        <w:ind w:left="4410" w:hanging="360"/>
      </w:pPr>
      <w:rPr>
        <w:rFonts w:ascii="Courier New" w:cs="Courier New" w:eastAsia="Courier New" w:hAnsi="Courier New"/>
      </w:rPr>
    </w:lvl>
    <w:lvl w:ilvl="5">
      <w:start w:val="1"/>
      <w:numFmt w:val="bullet"/>
      <w:lvlText w:val="▪"/>
      <w:lvlJc w:val="left"/>
      <w:pPr>
        <w:ind w:left="5130" w:hanging="360"/>
      </w:pPr>
      <w:rPr>
        <w:rFonts w:ascii="Noto Sans Symbols" w:cs="Noto Sans Symbols" w:eastAsia="Noto Sans Symbols" w:hAnsi="Noto Sans Symbols"/>
      </w:rPr>
    </w:lvl>
    <w:lvl w:ilvl="6">
      <w:start w:val="1"/>
      <w:numFmt w:val="bullet"/>
      <w:lvlText w:val="●"/>
      <w:lvlJc w:val="left"/>
      <w:pPr>
        <w:ind w:left="5850" w:hanging="360"/>
      </w:pPr>
      <w:rPr>
        <w:rFonts w:ascii="Noto Sans Symbols" w:cs="Noto Sans Symbols" w:eastAsia="Noto Sans Symbols" w:hAnsi="Noto Sans Symbols"/>
      </w:rPr>
    </w:lvl>
    <w:lvl w:ilvl="7">
      <w:start w:val="1"/>
      <w:numFmt w:val="bullet"/>
      <w:lvlText w:val="o"/>
      <w:lvlJc w:val="left"/>
      <w:pPr>
        <w:ind w:left="6570" w:hanging="360"/>
      </w:pPr>
      <w:rPr>
        <w:rFonts w:ascii="Courier New" w:cs="Courier New" w:eastAsia="Courier New" w:hAnsi="Courier New"/>
      </w:rPr>
    </w:lvl>
    <w:lvl w:ilvl="8">
      <w:start w:val="1"/>
      <w:numFmt w:val="bullet"/>
      <w:lvlText w:val="▪"/>
      <w:lvlJc w:val="left"/>
      <w:pPr>
        <w:ind w:left="7290" w:hanging="360"/>
      </w:pPr>
      <w:rPr>
        <w:rFonts w:ascii="Noto Sans Symbols" w:cs="Noto Sans Symbols" w:eastAsia="Noto Sans Symbols" w:hAnsi="Noto Sans Symbols"/>
      </w:rPr>
    </w:lvl>
  </w:abstractNum>
  <w:abstractNum w:abstractNumId="7">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spacing w:after="10" w:line="268" w:lineRule="auto"/>
        <w:ind w:left="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line="240" w:lineRule="auto"/>
      <w:ind w:left="1" w:firstLine="0"/>
      <w:jc w:val="center"/>
    </w:pPr>
    <w:rPr>
      <w:b w:val="1"/>
      <w:sz w:val="28"/>
      <w:szCs w:val="28"/>
    </w:rPr>
  </w:style>
  <w:style w:type="paragraph" w:styleId="Heading2">
    <w:name w:val="heading 2"/>
    <w:basedOn w:val="Normal"/>
    <w:next w:val="Normal"/>
    <w:pPr>
      <w:keepNext w:val="1"/>
      <w:keepLines w:val="1"/>
      <w:spacing w:after="21" w:line="259" w:lineRule="auto"/>
      <w:ind w:left="370"/>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C7F97"/>
    <w:pPr>
      <w:spacing w:after="10" w:line="268" w:lineRule="auto"/>
      <w:ind w:left="10" w:hanging="10"/>
    </w:pPr>
    <w:rPr>
      <w:rFonts w:cs="Calibri"/>
      <w:color w:val="000000"/>
      <w:sz w:val="24"/>
    </w:rPr>
  </w:style>
  <w:style w:type="paragraph" w:styleId="Heading1">
    <w:name w:val="heading 1"/>
    <w:basedOn w:val="Normal"/>
    <w:next w:val="Normal"/>
    <w:link w:val="Heading1Char"/>
    <w:uiPriority w:val="99"/>
    <w:qFormat w:val="1"/>
    <w:rsid w:val="006C7F97"/>
    <w:pPr>
      <w:keepNext w:val="1"/>
      <w:keepLines w:val="1"/>
      <w:spacing w:after="0" w:line="240" w:lineRule="auto"/>
      <w:ind w:left="1" w:firstLine="0"/>
      <w:jc w:val="center"/>
      <w:outlineLvl w:val="0"/>
    </w:pPr>
    <w:rPr>
      <w:rFonts w:cs="Times New Roman"/>
      <w:b w:val="1"/>
      <w:sz w:val="28"/>
    </w:rPr>
  </w:style>
  <w:style w:type="paragraph" w:styleId="Heading2">
    <w:name w:val="heading 2"/>
    <w:basedOn w:val="Normal"/>
    <w:next w:val="Normal"/>
    <w:link w:val="Heading2Char"/>
    <w:uiPriority w:val="99"/>
    <w:qFormat w:val="1"/>
    <w:rsid w:val="006C7F97"/>
    <w:pPr>
      <w:keepNext w:val="1"/>
      <w:keepLines w:val="1"/>
      <w:spacing w:after="21" w:line="259" w:lineRule="auto"/>
      <w:ind w:left="370"/>
      <w:outlineLvl w:val="1"/>
    </w:pPr>
    <w:rPr>
      <w:rFonts w:cs="Times New Roman"/>
      <w:b w:val="1"/>
    </w:rPr>
  </w:style>
  <w:style w:type="paragraph" w:styleId="Heading7">
    <w:name w:val="heading 7"/>
    <w:basedOn w:val="Normal"/>
    <w:next w:val="Normal"/>
    <w:link w:val="Heading7Char"/>
    <w:semiHidden w:val="1"/>
    <w:unhideWhenUsed w:val="1"/>
    <w:qFormat w:val="1"/>
    <w:locked w:val="1"/>
    <w:rsid w:val="005C57D6"/>
    <w:pPr>
      <w:keepNext w:val="1"/>
      <w:keepLines w:val="1"/>
      <w:spacing w:after="0" w:before="200"/>
      <w:outlineLvl w:val="6"/>
    </w:pPr>
    <w:rPr>
      <w:rFonts w:asciiTheme="majorHAnsi" w:cstheme="majorBidi" w:eastAsiaTheme="majorEastAsia" w:hAnsiTheme="majorHAnsi"/>
      <w:i w:val="1"/>
      <w:iCs w:val="1"/>
      <w:color w:val="404040" w:themeColor="text1" w:themeTint="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9"/>
    <w:locked w:val="1"/>
    <w:rsid w:val="006C7F97"/>
    <w:rPr>
      <w:rFonts w:ascii="Calibri" w:cs="Times New Roman" w:hAnsi="Calibri"/>
      <w:b w:val="1"/>
      <w:color w:val="000000"/>
      <w:sz w:val="22"/>
    </w:rPr>
  </w:style>
  <w:style w:type="character" w:styleId="Heading2Char" w:customStyle="1">
    <w:name w:val="Heading 2 Char"/>
    <w:basedOn w:val="DefaultParagraphFont"/>
    <w:link w:val="Heading2"/>
    <w:uiPriority w:val="99"/>
    <w:locked w:val="1"/>
    <w:rsid w:val="006C7F97"/>
    <w:rPr>
      <w:rFonts w:ascii="Calibri" w:cs="Times New Roman" w:hAnsi="Calibri"/>
      <w:b w:val="1"/>
      <w:color w:val="000000"/>
      <w:sz w:val="22"/>
    </w:rPr>
  </w:style>
  <w:style w:type="paragraph" w:styleId="Header">
    <w:name w:val="header"/>
    <w:basedOn w:val="Normal"/>
    <w:link w:val="HeaderChar"/>
    <w:uiPriority w:val="99"/>
    <w:rsid w:val="00F66FF8"/>
    <w:pPr>
      <w:tabs>
        <w:tab w:val="center" w:pos="4680"/>
        <w:tab w:val="right" w:pos="9360"/>
      </w:tabs>
      <w:spacing w:after="0" w:line="240" w:lineRule="auto"/>
    </w:pPr>
  </w:style>
  <w:style w:type="character" w:styleId="HeaderChar" w:customStyle="1">
    <w:name w:val="Header Char"/>
    <w:basedOn w:val="DefaultParagraphFont"/>
    <w:link w:val="Header"/>
    <w:uiPriority w:val="99"/>
    <w:locked w:val="1"/>
    <w:rsid w:val="00F66FF8"/>
    <w:rPr>
      <w:rFonts w:ascii="Calibri" w:cs="Calibri" w:hAnsi="Calibri"/>
      <w:color w:val="000000"/>
      <w:sz w:val="24"/>
    </w:rPr>
  </w:style>
  <w:style w:type="character" w:styleId="Hyperlink">
    <w:name w:val="Hyperlink"/>
    <w:basedOn w:val="DefaultParagraphFont"/>
    <w:uiPriority w:val="99"/>
    <w:rsid w:val="00F66FF8"/>
    <w:rPr>
      <w:rFonts w:cs="Times New Roman"/>
      <w:color w:val="0000ff"/>
      <w:u w:val="single"/>
    </w:rPr>
  </w:style>
  <w:style w:type="paragraph" w:styleId="Footer">
    <w:name w:val="footer"/>
    <w:basedOn w:val="Normal"/>
    <w:link w:val="FooterChar"/>
    <w:uiPriority w:val="99"/>
    <w:rsid w:val="00F66FF8"/>
    <w:pPr>
      <w:tabs>
        <w:tab w:val="center" w:pos="4320"/>
        <w:tab w:val="right" w:pos="8640"/>
      </w:tabs>
      <w:spacing w:after="0" w:line="240" w:lineRule="auto"/>
      <w:ind w:left="0" w:firstLine="0"/>
    </w:pPr>
    <w:rPr>
      <w:rFonts w:ascii="Times New Roman" w:cs="Times New Roman" w:hAnsi="Times New Roman"/>
      <w:color w:val="auto"/>
      <w:szCs w:val="24"/>
    </w:rPr>
  </w:style>
  <w:style w:type="character" w:styleId="FooterChar" w:customStyle="1">
    <w:name w:val="Footer Char"/>
    <w:basedOn w:val="DefaultParagraphFont"/>
    <w:link w:val="Footer"/>
    <w:uiPriority w:val="99"/>
    <w:locked w:val="1"/>
    <w:rsid w:val="00F66FF8"/>
    <w:rPr>
      <w:rFonts w:ascii="Times New Roman" w:cs="Times New Roman" w:hAnsi="Times New Roman"/>
      <w:sz w:val="24"/>
      <w:szCs w:val="24"/>
    </w:rPr>
  </w:style>
  <w:style w:type="paragraph" w:styleId="ListParagraph">
    <w:name w:val="List Paragraph"/>
    <w:basedOn w:val="Normal"/>
    <w:uiPriority w:val="34"/>
    <w:qFormat w:val="1"/>
    <w:rsid w:val="00400091"/>
    <w:pPr>
      <w:ind w:left="720"/>
      <w:contextualSpacing w:val="1"/>
    </w:pPr>
  </w:style>
  <w:style w:type="character" w:styleId="CommentReference">
    <w:name w:val="annotation reference"/>
    <w:basedOn w:val="DefaultParagraphFont"/>
    <w:uiPriority w:val="99"/>
    <w:unhideWhenUsed w:val="1"/>
    <w:rsid w:val="005F64F1"/>
    <w:rPr>
      <w:sz w:val="16"/>
      <w:szCs w:val="16"/>
    </w:rPr>
  </w:style>
  <w:style w:type="paragraph" w:styleId="CommentText">
    <w:name w:val="annotation text"/>
    <w:basedOn w:val="Normal"/>
    <w:link w:val="CommentTextChar"/>
    <w:unhideWhenUsed w:val="1"/>
    <w:rsid w:val="005F64F1"/>
    <w:pPr>
      <w:spacing w:line="240" w:lineRule="auto"/>
    </w:pPr>
    <w:rPr>
      <w:sz w:val="20"/>
      <w:szCs w:val="20"/>
    </w:rPr>
  </w:style>
  <w:style w:type="character" w:styleId="CommentTextChar" w:customStyle="1">
    <w:name w:val="Comment Text Char"/>
    <w:basedOn w:val="DefaultParagraphFont"/>
    <w:link w:val="CommentText"/>
    <w:rsid w:val="005F64F1"/>
    <w:rPr>
      <w:rFonts w:cs="Calibri"/>
      <w:color w:val="000000"/>
      <w:sz w:val="20"/>
      <w:szCs w:val="20"/>
    </w:rPr>
  </w:style>
  <w:style w:type="paragraph" w:styleId="CommentSubject">
    <w:name w:val="annotation subject"/>
    <w:basedOn w:val="CommentText"/>
    <w:next w:val="CommentText"/>
    <w:link w:val="CommentSubjectChar"/>
    <w:uiPriority w:val="99"/>
    <w:semiHidden w:val="1"/>
    <w:unhideWhenUsed w:val="1"/>
    <w:rsid w:val="005F64F1"/>
    <w:rPr>
      <w:b w:val="1"/>
      <w:bCs w:val="1"/>
    </w:rPr>
  </w:style>
  <w:style w:type="character" w:styleId="CommentSubjectChar" w:customStyle="1">
    <w:name w:val="Comment Subject Char"/>
    <w:basedOn w:val="CommentTextChar"/>
    <w:link w:val="CommentSubject"/>
    <w:uiPriority w:val="99"/>
    <w:semiHidden w:val="1"/>
    <w:rsid w:val="005F64F1"/>
    <w:rPr>
      <w:rFonts w:cs="Calibri"/>
      <w:b w:val="1"/>
      <w:bCs w:val="1"/>
      <w:color w:val="000000"/>
      <w:sz w:val="20"/>
      <w:szCs w:val="20"/>
    </w:rPr>
  </w:style>
  <w:style w:type="paragraph" w:styleId="BalloonText">
    <w:name w:val="Balloon Text"/>
    <w:basedOn w:val="Normal"/>
    <w:link w:val="BalloonTextChar"/>
    <w:uiPriority w:val="99"/>
    <w:semiHidden w:val="1"/>
    <w:unhideWhenUsed w:val="1"/>
    <w:rsid w:val="005F64F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5F64F1"/>
    <w:rPr>
      <w:rFonts w:ascii="Tahoma" w:cs="Tahoma" w:hAnsi="Tahoma"/>
      <w:color w:val="000000"/>
      <w:sz w:val="16"/>
      <w:szCs w:val="16"/>
    </w:rPr>
  </w:style>
  <w:style w:type="character" w:styleId="Heading7Char" w:customStyle="1">
    <w:name w:val="Heading 7 Char"/>
    <w:basedOn w:val="DefaultParagraphFont"/>
    <w:link w:val="Heading7"/>
    <w:uiPriority w:val="9"/>
    <w:rsid w:val="005C57D6"/>
    <w:rPr>
      <w:rFonts w:asciiTheme="majorHAnsi" w:cstheme="majorBidi" w:eastAsiaTheme="majorEastAsia" w:hAnsiTheme="majorHAnsi"/>
      <w:i w:val="1"/>
      <w:iCs w:val="1"/>
      <w:color w:val="404040" w:themeColor="text1" w:themeTint="0000BF"/>
      <w:sz w:val="24"/>
    </w:rPr>
  </w:style>
  <w:style w:type="character" w:styleId="FootnoteReference">
    <w:name w:val="footnote reference"/>
    <w:basedOn w:val="DefaultParagraphFont"/>
    <w:uiPriority w:val="99"/>
    <w:unhideWhenUsed w:val="1"/>
    <w:rsid w:val="005C57D6"/>
    <w:rPr>
      <w:vertAlign w:val="superscript"/>
    </w:rPr>
  </w:style>
  <w:style w:type="paragraph" w:styleId="FootnoteText">
    <w:name w:val="footnote text"/>
    <w:basedOn w:val="Normal"/>
    <w:link w:val="FootnoteTextChar"/>
    <w:uiPriority w:val="99"/>
    <w:unhideWhenUsed w:val="1"/>
    <w:rsid w:val="005C57D6"/>
    <w:pPr>
      <w:spacing w:after="0" w:line="240" w:lineRule="auto"/>
      <w:ind w:left="0" w:firstLine="0"/>
    </w:pPr>
    <w:rPr>
      <w:rFonts w:ascii="Times New Roman" w:hAnsi="Times New Roman" w:cstheme="minorBidi" w:eastAsiaTheme="minorEastAsia"/>
      <w:color w:val="auto"/>
      <w:sz w:val="16"/>
      <w:szCs w:val="20"/>
    </w:rPr>
  </w:style>
  <w:style w:type="character" w:styleId="FootnoteTextChar" w:customStyle="1">
    <w:name w:val="Footnote Text Char"/>
    <w:basedOn w:val="DefaultParagraphFont"/>
    <w:link w:val="FootnoteText"/>
    <w:uiPriority w:val="99"/>
    <w:rsid w:val="005C57D6"/>
    <w:rPr>
      <w:rFonts w:ascii="Times New Roman" w:hAnsi="Times New Roman" w:cstheme="minorBidi" w:eastAsiaTheme="minorEastAsia"/>
      <w:sz w:val="16"/>
      <w:szCs w:val="20"/>
    </w:rPr>
  </w:style>
  <w:style w:type="character" w:styleId="SubtleEmphasis">
    <w:name w:val="Subtle Emphasis"/>
    <w:basedOn w:val="DefaultParagraphFont"/>
    <w:uiPriority w:val="19"/>
    <w:qFormat w:val="1"/>
    <w:rsid w:val="00421C93"/>
  </w:style>
  <w:style w:type="character" w:styleId="IntenseEmphasis">
    <w:name w:val="Intense Emphasis"/>
    <w:basedOn w:val="DefaultParagraphFont"/>
    <w:uiPriority w:val="21"/>
    <w:qFormat w:val="1"/>
    <w:rsid w:val="00421C93"/>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uhirb@hawai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x6EqqcmHTi49TAHr0jCYnVNYEw==">AMUW2mVut26YaJ7chNv5pLGiqgDl1IgJrY0OPbd6/wZpT0IkmsOh6Ch/wVbWF3XII/cEC3aoEFDImdVh0sjWMliFg3tDbEI0UJKpiGKLKg1Ex7vQwxpIcGjgfOjsHj1mcoCowObIl5Fb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2015-07-12T18:23:00Z</dcterms:created>
  <dc:creator>Virginia Woo</dc:creator>
</cp:coreProperties>
</file>