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69" w:rsidRPr="00A90093" w:rsidRDefault="00F83920" w:rsidP="00F47502">
      <w:pPr>
        <w:pStyle w:val="Header"/>
        <w:spacing w:before="2" w:after="2"/>
        <w:jc w:val="center"/>
        <w:rPr>
          <w:rFonts w:ascii="Cambria" w:hAnsi="Cambria"/>
          <w:b/>
          <w:sz w:val="22"/>
          <w:u w:val="single"/>
        </w:rPr>
      </w:pPr>
      <w:bookmarkStart w:id="0" w:name="_GoBack"/>
      <w:bookmarkEnd w:id="0"/>
      <w:r>
        <w:rPr>
          <w:rFonts w:ascii="Cambria" w:hAnsi="Cambria"/>
          <w:b/>
          <w:sz w:val="22"/>
          <w:u w:val="single"/>
        </w:rPr>
        <w:t xml:space="preserve">GUIDE </w:t>
      </w:r>
      <w:r w:rsidR="00972569" w:rsidRPr="00A90093">
        <w:rPr>
          <w:rFonts w:ascii="Cambria" w:hAnsi="Cambria"/>
          <w:b/>
          <w:sz w:val="22"/>
          <w:u w:val="single"/>
        </w:rPr>
        <w:t>6</w:t>
      </w:r>
      <w:r w:rsidR="00C927DB">
        <w:rPr>
          <w:rFonts w:ascii="Cambria" w:hAnsi="Cambria"/>
          <w:b/>
          <w:sz w:val="22"/>
          <w:u w:val="single"/>
        </w:rPr>
        <w:t>14</w:t>
      </w:r>
      <w:r>
        <w:rPr>
          <w:rFonts w:ascii="Cambria" w:hAnsi="Cambria"/>
          <w:b/>
          <w:sz w:val="22"/>
          <w:u w:val="single"/>
        </w:rPr>
        <w:t xml:space="preserve"> – </w:t>
      </w:r>
      <w:r w:rsidR="00972569" w:rsidRPr="00A90093">
        <w:rPr>
          <w:rFonts w:ascii="Cambria" w:hAnsi="Cambria"/>
          <w:b/>
          <w:sz w:val="22"/>
          <w:u w:val="single"/>
        </w:rPr>
        <w:t xml:space="preserve">for </w:t>
      </w:r>
      <w:r w:rsidR="002A5BEC">
        <w:rPr>
          <w:rFonts w:ascii="Cambria" w:hAnsi="Cambria"/>
          <w:b/>
          <w:sz w:val="22"/>
          <w:u w:val="single"/>
        </w:rPr>
        <w:t xml:space="preserve">Events </w:t>
      </w:r>
      <w:proofErr w:type="gramStart"/>
      <w:r w:rsidR="002A5BEC">
        <w:rPr>
          <w:rFonts w:ascii="Cambria" w:hAnsi="Cambria"/>
          <w:b/>
          <w:sz w:val="22"/>
          <w:u w:val="single"/>
        </w:rPr>
        <w:t>and  Information</w:t>
      </w:r>
      <w:proofErr w:type="gramEnd"/>
      <w:r w:rsidR="002A5BEC">
        <w:rPr>
          <w:rFonts w:ascii="Cambria" w:hAnsi="Cambria"/>
          <w:b/>
          <w:sz w:val="22"/>
          <w:u w:val="single"/>
        </w:rPr>
        <w:t xml:space="preserve"> That Require Reporting to the IRB</w:t>
      </w:r>
    </w:p>
    <w:p w:rsidR="00972569" w:rsidRPr="00A90093" w:rsidRDefault="00972569" w:rsidP="00F47502">
      <w:pPr>
        <w:pStyle w:val="Header"/>
        <w:rPr>
          <w:rFonts w:ascii="Cambria" w:hAnsi="Cambria"/>
          <w:sz w:val="22"/>
        </w:rPr>
      </w:pPr>
    </w:p>
    <w:p w:rsidR="00972569" w:rsidRPr="00456C48" w:rsidRDefault="00972569" w:rsidP="00534F58">
      <w:pPr>
        <w:ind w:left="0" w:firstLine="0"/>
        <w:rPr>
          <w:rFonts w:ascii="Times New Roman" w:hAnsi="Times New Roman" w:cs="Times New Roman"/>
          <w:sz w:val="22"/>
        </w:rPr>
      </w:pPr>
      <w:r w:rsidRPr="00456C48">
        <w:rPr>
          <w:rFonts w:ascii="Times New Roman" w:hAnsi="Times New Roman" w:cs="Times New Roman"/>
          <w:sz w:val="22"/>
        </w:rPr>
        <w:t xml:space="preserve">The following are guidelines for </w:t>
      </w:r>
      <w:r w:rsidR="00400091" w:rsidRPr="00456C48">
        <w:rPr>
          <w:rFonts w:ascii="Times New Roman" w:hAnsi="Times New Roman" w:cs="Times New Roman"/>
          <w:sz w:val="22"/>
        </w:rPr>
        <w:t xml:space="preserve">handling reports for </w:t>
      </w:r>
      <w:r w:rsidR="00996368" w:rsidRPr="00456C48">
        <w:rPr>
          <w:rFonts w:ascii="Times New Roman" w:hAnsi="Times New Roman" w:cs="Times New Roman"/>
          <w:sz w:val="22"/>
        </w:rPr>
        <w:t>Unanticipated</w:t>
      </w:r>
      <w:r w:rsidR="00400091" w:rsidRPr="00456C48">
        <w:rPr>
          <w:rFonts w:ascii="Times New Roman" w:hAnsi="Times New Roman" w:cs="Times New Roman"/>
          <w:sz w:val="22"/>
        </w:rPr>
        <w:t xml:space="preserve"> Problems </w:t>
      </w:r>
      <w:r w:rsidRPr="00456C48">
        <w:rPr>
          <w:rFonts w:ascii="Times New Roman" w:hAnsi="Times New Roman" w:cs="Times New Roman"/>
          <w:sz w:val="22"/>
        </w:rPr>
        <w:t xml:space="preserve">for submission to the University of Hawai’i (UH) </w:t>
      </w:r>
      <w:r w:rsidR="00400091" w:rsidRPr="00456C48">
        <w:rPr>
          <w:rFonts w:ascii="Times New Roman" w:hAnsi="Times New Roman" w:cs="Times New Roman"/>
          <w:sz w:val="22"/>
        </w:rPr>
        <w:t>Human Studies Program</w:t>
      </w:r>
      <w:r w:rsidRPr="00456C48">
        <w:rPr>
          <w:rFonts w:ascii="Times New Roman" w:hAnsi="Times New Roman" w:cs="Times New Roman"/>
          <w:sz w:val="22"/>
        </w:rPr>
        <w:t xml:space="preserve"> </w:t>
      </w:r>
      <w:r w:rsidR="00400091" w:rsidRPr="00456C48">
        <w:rPr>
          <w:rFonts w:ascii="Times New Roman" w:hAnsi="Times New Roman" w:cs="Times New Roman"/>
          <w:sz w:val="22"/>
        </w:rPr>
        <w:t>(HSP)</w:t>
      </w:r>
      <w:r w:rsidR="003B72B1">
        <w:rPr>
          <w:rFonts w:ascii="Times New Roman" w:hAnsi="Times New Roman" w:cs="Times New Roman"/>
          <w:sz w:val="22"/>
        </w:rPr>
        <w:t xml:space="preserve"> </w:t>
      </w:r>
      <w:r w:rsidR="00400091" w:rsidRPr="00456C48">
        <w:rPr>
          <w:rFonts w:ascii="Times New Roman" w:hAnsi="Times New Roman" w:cs="Times New Roman"/>
          <w:sz w:val="22"/>
        </w:rPr>
        <w:t>which will direct the report to the appropriate IRB</w:t>
      </w:r>
      <w:r w:rsidRPr="00456C48">
        <w:rPr>
          <w:rFonts w:ascii="Times New Roman" w:hAnsi="Times New Roman" w:cs="Times New Roman"/>
          <w:sz w:val="22"/>
        </w:rPr>
        <w:t xml:space="preserve">.  </w:t>
      </w:r>
    </w:p>
    <w:p w:rsidR="00972569" w:rsidRPr="00456C48" w:rsidRDefault="00972569" w:rsidP="00534F58">
      <w:pPr>
        <w:ind w:left="0" w:firstLine="0"/>
        <w:rPr>
          <w:rFonts w:ascii="Times New Roman" w:hAnsi="Times New Roman" w:cs="Times New Roman"/>
          <w:sz w:val="22"/>
        </w:rPr>
      </w:pPr>
    </w:p>
    <w:p w:rsidR="00400091" w:rsidRPr="00456C48" w:rsidRDefault="00C927DB" w:rsidP="00C927DB">
      <w:pPr>
        <w:ind w:left="0" w:firstLine="0"/>
        <w:rPr>
          <w:rFonts w:ascii="Times New Roman" w:hAnsi="Times New Roman" w:cs="Times New Roman"/>
          <w:b/>
          <w:sz w:val="28"/>
          <w:szCs w:val="28"/>
        </w:rPr>
      </w:pPr>
      <w:r w:rsidRPr="00456C48">
        <w:rPr>
          <w:rFonts w:ascii="Times New Roman" w:hAnsi="Times New Roman" w:cs="Times New Roman"/>
          <w:b/>
          <w:sz w:val="28"/>
          <w:szCs w:val="28"/>
        </w:rPr>
        <w:t xml:space="preserve">Scope </w:t>
      </w:r>
    </w:p>
    <w:p w:rsidR="00996368" w:rsidRPr="00456C48" w:rsidRDefault="00C927DB" w:rsidP="00996368">
      <w:pPr>
        <w:spacing w:line="240" w:lineRule="auto"/>
        <w:ind w:left="0" w:firstLine="0"/>
        <w:rPr>
          <w:rFonts w:ascii="Times New Roman" w:hAnsi="Times New Roman" w:cs="Times New Roman"/>
        </w:rPr>
      </w:pPr>
      <w:r w:rsidRPr="00456C48">
        <w:rPr>
          <w:rFonts w:ascii="Times New Roman" w:hAnsi="Times New Roman" w:cs="Times New Roman"/>
        </w:rPr>
        <w:t xml:space="preserve">This guidance applies to all non-exempt human subject research. It explains events or circumstances that must be promptly reported to the IRB during the conduct of human subject research. “Prompt reporting” is done using the Report Form in </w:t>
      </w:r>
      <w:proofErr w:type="spellStart"/>
      <w:r w:rsidRPr="00456C48">
        <w:rPr>
          <w:rFonts w:ascii="Times New Roman" w:hAnsi="Times New Roman" w:cs="Times New Roman"/>
        </w:rPr>
        <w:t>eProtocol</w:t>
      </w:r>
      <w:proofErr w:type="spellEnd"/>
      <w:r>
        <w:t>.</w:t>
      </w:r>
    </w:p>
    <w:p w:rsidR="00400091" w:rsidRPr="00456C48" w:rsidRDefault="00C927DB" w:rsidP="00C927DB">
      <w:pPr>
        <w:ind w:left="0" w:firstLine="0"/>
        <w:rPr>
          <w:rFonts w:ascii="Times New Roman" w:hAnsi="Times New Roman" w:cs="Times New Roman"/>
        </w:rPr>
      </w:pPr>
      <w:r w:rsidRPr="00456C48">
        <w:rPr>
          <w:rFonts w:ascii="Times New Roman" w:hAnsi="Times New Roman" w:cs="Times New Roman"/>
        </w:rPr>
        <w:t xml:space="preserve">This guidance covers: </w:t>
      </w:r>
    </w:p>
    <w:p w:rsidR="00400091" w:rsidRPr="00456C48" w:rsidRDefault="00C927DB" w:rsidP="00400091">
      <w:pPr>
        <w:pStyle w:val="ListParagraph"/>
        <w:numPr>
          <w:ilvl w:val="0"/>
          <w:numId w:val="15"/>
        </w:numPr>
        <w:rPr>
          <w:rFonts w:ascii="Times New Roman" w:hAnsi="Times New Roman" w:cs="Times New Roman"/>
        </w:rPr>
      </w:pPr>
      <w:r w:rsidRPr="00456C48">
        <w:rPr>
          <w:rFonts w:ascii="Times New Roman" w:hAnsi="Times New Roman" w:cs="Times New Roman"/>
        </w:rPr>
        <w:t>Events and information which requi</w:t>
      </w:r>
      <w:r w:rsidR="007B56A3">
        <w:rPr>
          <w:rFonts w:ascii="Times New Roman" w:hAnsi="Times New Roman" w:cs="Times New Roman"/>
        </w:rPr>
        <w:t>re prompt reporting to the IRB:</w:t>
      </w:r>
    </w:p>
    <w:p w:rsidR="00400091" w:rsidRPr="00456C48" w:rsidRDefault="00C927DB" w:rsidP="00400091">
      <w:pPr>
        <w:pStyle w:val="ListParagraph"/>
        <w:numPr>
          <w:ilvl w:val="1"/>
          <w:numId w:val="15"/>
        </w:numPr>
        <w:ind w:left="360" w:firstLine="0"/>
        <w:rPr>
          <w:rFonts w:ascii="Times New Roman" w:hAnsi="Times New Roman" w:cs="Times New Roman"/>
        </w:rPr>
      </w:pPr>
      <w:r w:rsidRPr="00456C48">
        <w:rPr>
          <w:rFonts w:ascii="Times New Roman" w:hAnsi="Times New Roman" w:cs="Times New Roman"/>
        </w:rPr>
        <w:t>Unanticipated problems involving risks to participants or others (“UPs”)</w:t>
      </w:r>
    </w:p>
    <w:p w:rsidR="00400091" w:rsidRPr="00456C48" w:rsidRDefault="00C927DB" w:rsidP="00400091">
      <w:pPr>
        <w:pStyle w:val="ListParagraph"/>
        <w:numPr>
          <w:ilvl w:val="1"/>
          <w:numId w:val="15"/>
        </w:numPr>
        <w:ind w:left="720"/>
        <w:rPr>
          <w:rFonts w:ascii="Times New Roman" w:hAnsi="Times New Roman" w:cs="Times New Roman"/>
        </w:rPr>
      </w:pPr>
      <w:r w:rsidRPr="00456C48">
        <w:rPr>
          <w:rFonts w:ascii="Times New Roman" w:hAnsi="Times New Roman" w:cs="Times New Roman"/>
        </w:rPr>
        <w:t xml:space="preserve">New information, protocol deviation or violation (such as possible noncompliance), complaint, participant incarceration, unanticipated adverse device effect (UADE) </w:t>
      </w:r>
    </w:p>
    <w:p w:rsidR="00996368" w:rsidRPr="00456C48" w:rsidRDefault="00C927DB" w:rsidP="00996368">
      <w:pPr>
        <w:pStyle w:val="ListParagraph"/>
        <w:numPr>
          <w:ilvl w:val="1"/>
          <w:numId w:val="15"/>
        </w:numPr>
        <w:ind w:left="720"/>
        <w:rPr>
          <w:rFonts w:ascii="Times New Roman" w:hAnsi="Times New Roman" w:cs="Times New Roman"/>
        </w:rPr>
      </w:pPr>
      <w:r w:rsidRPr="00456C48">
        <w:rPr>
          <w:rFonts w:ascii="Times New Roman" w:hAnsi="Times New Roman" w:cs="Times New Roman"/>
        </w:rPr>
        <w:t>Other events or information where “p</w:t>
      </w:r>
      <w:r w:rsidR="00996368" w:rsidRPr="00456C48">
        <w:rPr>
          <w:rFonts w:ascii="Times New Roman" w:hAnsi="Times New Roman" w:cs="Times New Roman"/>
        </w:rPr>
        <w:t>rompt reporting” is not required</w:t>
      </w:r>
    </w:p>
    <w:p w:rsidR="00996368" w:rsidRDefault="00996368" w:rsidP="00996368">
      <w:pPr>
        <w:pStyle w:val="ListParagraph"/>
        <w:ind w:firstLine="0"/>
      </w:pPr>
    </w:p>
    <w:p w:rsidR="00996368" w:rsidRDefault="00C927DB" w:rsidP="00996368">
      <w:pPr>
        <w:pStyle w:val="ListParagraph"/>
        <w:ind w:hanging="720"/>
      </w:pPr>
      <w:r w:rsidRPr="00996368">
        <w:rPr>
          <w:rFonts w:ascii="Times New Roman" w:hAnsi="Times New Roman" w:cs="Times New Roman"/>
          <w:b/>
          <w:sz w:val="28"/>
          <w:szCs w:val="28"/>
        </w:rPr>
        <w:t>Events and information which require prompt reporting to the IRB</w:t>
      </w:r>
      <w:r>
        <w:t xml:space="preserve"> </w:t>
      </w:r>
    </w:p>
    <w:p w:rsidR="00996368" w:rsidRDefault="00996368" w:rsidP="00996368">
      <w:pPr>
        <w:pStyle w:val="ListParagraph"/>
        <w:ind w:hanging="720"/>
      </w:pPr>
    </w:p>
    <w:p w:rsidR="00996368" w:rsidRDefault="00C927DB" w:rsidP="00996368">
      <w:pPr>
        <w:pStyle w:val="ListParagraph"/>
        <w:numPr>
          <w:ilvl w:val="0"/>
          <w:numId w:val="16"/>
        </w:numPr>
        <w:spacing w:line="240" w:lineRule="auto"/>
        <w:rPr>
          <w:rFonts w:ascii="Times New Roman" w:hAnsi="Times New Roman" w:cs="Times New Roman"/>
        </w:rPr>
      </w:pPr>
      <w:r w:rsidRPr="00996368">
        <w:rPr>
          <w:rFonts w:ascii="Times New Roman" w:hAnsi="Times New Roman" w:cs="Times New Roman"/>
          <w:b/>
        </w:rPr>
        <w:t>Unanticipated Problems Involving Risks to Participants or Others (UPs)</w:t>
      </w:r>
      <w:r w:rsidRPr="00996368">
        <w:rPr>
          <w:rFonts w:ascii="Times New Roman" w:hAnsi="Times New Roman" w:cs="Times New Roman"/>
        </w:rPr>
        <w:t xml:space="preserve"> </w:t>
      </w:r>
    </w:p>
    <w:p w:rsidR="00996368" w:rsidRDefault="00996368" w:rsidP="00996368">
      <w:pPr>
        <w:pStyle w:val="ListParagraph"/>
        <w:spacing w:line="240" w:lineRule="auto"/>
        <w:ind w:firstLine="0"/>
        <w:rPr>
          <w:rFonts w:ascii="Times New Roman" w:hAnsi="Times New Roman" w:cs="Times New Roman"/>
        </w:rPr>
      </w:pPr>
      <w:r w:rsidRPr="00996368">
        <w:rPr>
          <w:rFonts w:ascii="Times New Roman" w:hAnsi="Times New Roman" w:cs="Times New Roman"/>
        </w:rPr>
        <w:t>Events (internal or external, deaths, life-threatening experiences, injuries, breaches of confidentiality, or other) occurring during or after the research study, which in the opinion of the Monitoring Enti</w:t>
      </w:r>
      <w:r w:rsidR="00BB02C9">
        <w:rPr>
          <w:rFonts w:ascii="Times New Roman" w:hAnsi="Times New Roman" w:cs="Times New Roman"/>
        </w:rPr>
        <w:t>ty or the PI</w:t>
      </w:r>
      <w:r w:rsidRPr="00996368">
        <w:rPr>
          <w:rFonts w:ascii="Times New Roman" w:hAnsi="Times New Roman" w:cs="Times New Roman"/>
        </w:rPr>
        <w:t xml:space="preserve"> meet </w:t>
      </w:r>
      <w:r w:rsidRPr="00996368">
        <w:rPr>
          <w:rFonts w:ascii="Times New Roman" w:hAnsi="Times New Roman" w:cs="Times New Roman"/>
          <w:b/>
        </w:rPr>
        <w:t>all</w:t>
      </w:r>
      <w:r w:rsidRPr="00996368">
        <w:rPr>
          <w:rFonts w:ascii="Times New Roman" w:hAnsi="Times New Roman" w:cs="Times New Roman"/>
        </w:rPr>
        <w:t xml:space="preserve"> of the following criteria:</w:t>
      </w:r>
    </w:p>
    <w:p w:rsidR="00996368" w:rsidRPr="00996368" w:rsidRDefault="00996368" w:rsidP="00996368">
      <w:pPr>
        <w:pStyle w:val="ListParagraph"/>
        <w:spacing w:line="240" w:lineRule="auto"/>
        <w:ind w:firstLine="0"/>
      </w:pPr>
    </w:p>
    <w:p w:rsidR="00996368" w:rsidRDefault="00C927DB" w:rsidP="00996368">
      <w:pPr>
        <w:pStyle w:val="ListParagraph"/>
        <w:numPr>
          <w:ilvl w:val="0"/>
          <w:numId w:val="17"/>
        </w:numPr>
        <w:rPr>
          <w:rFonts w:ascii="Times New Roman" w:hAnsi="Times New Roman" w:cs="Times New Roman"/>
        </w:rPr>
      </w:pPr>
      <w:r w:rsidRPr="00996368">
        <w:rPr>
          <w:rFonts w:ascii="Times New Roman" w:hAnsi="Times New Roman" w:cs="Times New Roman"/>
          <w:b/>
        </w:rPr>
        <w:t>Unexpected</w:t>
      </w:r>
      <w:r w:rsidRPr="00996368">
        <w:rPr>
          <w:rFonts w:ascii="Times New Roman" w:hAnsi="Times New Roman" w:cs="Times New Roman"/>
        </w:rPr>
        <w:t xml:space="preserve"> </w:t>
      </w:r>
    </w:p>
    <w:p w:rsidR="00996368" w:rsidRDefault="00996368" w:rsidP="00996368">
      <w:pPr>
        <w:pStyle w:val="ListParagraph"/>
        <w:ind w:left="1080" w:firstLine="0"/>
        <w:rPr>
          <w:rFonts w:ascii="Times New Roman" w:hAnsi="Times New Roman" w:cs="Times New Roman"/>
        </w:rPr>
      </w:pPr>
      <w:proofErr w:type="gramStart"/>
      <w:r w:rsidRPr="00996368">
        <w:rPr>
          <w:rFonts w:ascii="Times New Roman" w:hAnsi="Times New Roman" w:cs="Times New Roman"/>
        </w:rPr>
        <w:t>in</w:t>
      </w:r>
      <w:proofErr w:type="gramEnd"/>
      <w:r w:rsidRPr="00996368">
        <w:rPr>
          <w:rFonts w:ascii="Times New Roman" w:hAnsi="Times New Roman" w:cs="Times New Roman"/>
        </w:rPr>
        <w:t xml:space="preserve"> terms of nature, severity, or frequency, given (a) the research procedures described in the protocol-related documents, and (b) the characteristics of the subject population being studied;</w:t>
      </w:r>
    </w:p>
    <w:p w:rsidR="00996368" w:rsidRPr="00996368" w:rsidRDefault="00996368" w:rsidP="00996368">
      <w:pPr>
        <w:pStyle w:val="ListParagraph"/>
        <w:ind w:left="1080" w:firstLine="0"/>
        <w:rPr>
          <w:rFonts w:ascii="Times New Roman" w:hAnsi="Times New Roman" w:cs="Times New Roman"/>
          <w:b/>
          <w:i/>
        </w:rPr>
      </w:pPr>
      <w:r w:rsidRPr="00996368">
        <w:rPr>
          <w:rFonts w:ascii="Times New Roman" w:hAnsi="Times New Roman" w:cs="Times New Roman"/>
          <w:b/>
          <w:i/>
        </w:rPr>
        <w:t>AND</w:t>
      </w:r>
    </w:p>
    <w:p w:rsidR="00996368" w:rsidRDefault="00996368" w:rsidP="00996368">
      <w:pPr>
        <w:pStyle w:val="ListParagraph"/>
        <w:numPr>
          <w:ilvl w:val="0"/>
          <w:numId w:val="17"/>
        </w:numPr>
        <w:rPr>
          <w:rFonts w:ascii="Times New Roman" w:hAnsi="Times New Roman" w:cs="Times New Roman"/>
        </w:rPr>
      </w:pPr>
      <w:r w:rsidRPr="00996368">
        <w:rPr>
          <w:rFonts w:ascii="Times New Roman" w:hAnsi="Times New Roman" w:cs="Times New Roman"/>
          <w:b/>
        </w:rPr>
        <w:t>Related to participation in the research</w:t>
      </w:r>
      <w:r w:rsidRPr="00996368">
        <w:rPr>
          <w:rFonts w:ascii="Times New Roman" w:hAnsi="Times New Roman" w:cs="Times New Roman"/>
        </w:rPr>
        <w:t xml:space="preserve"> or there is a reasonable possibility that the incident, experience, or outcome may have been caused by the procedures involved in the research;</w:t>
      </w:r>
    </w:p>
    <w:p w:rsidR="00996368" w:rsidRPr="00996368" w:rsidRDefault="00996368" w:rsidP="002D2461">
      <w:pPr>
        <w:pStyle w:val="ListParagraph"/>
        <w:ind w:left="1080" w:firstLine="0"/>
        <w:rPr>
          <w:rFonts w:ascii="Times New Roman" w:hAnsi="Times New Roman" w:cs="Times New Roman"/>
          <w:b/>
          <w:i/>
        </w:rPr>
      </w:pPr>
      <w:r w:rsidRPr="00996368">
        <w:rPr>
          <w:rFonts w:ascii="Times New Roman" w:hAnsi="Times New Roman" w:cs="Times New Roman"/>
          <w:b/>
          <w:i/>
        </w:rPr>
        <w:t>AND</w:t>
      </w:r>
    </w:p>
    <w:p w:rsidR="00996368" w:rsidRPr="002D2461" w:rsidRDefault="002D2461" w:rsidP="00996368">
      <w:pPr>
        <w:pStyle w:val="ListParagraph"/>
        <w:numPr>
          <w:ilvl w:val="0"/>
          <w:numId w:val="17"/>
        </w:numPr>
        <w:rPr>
          <w:rFonts w:ascii="Times New Roman" w:hAnsi="Times New Roman" w:cs="Times New Roman"/>
          <w:b/>
        </w:rPr>
      </w:pPr>
      <w:r w:rsidRPr="002D2461">
        <w:rPr>
          <w:rFonts w:ascii="Times New Roman" w:hAnsi="Times New Roman" w:cs="Times New Roman"/>
          <w:b/>
        </w:rPr>
        <w:t>Harmful</w:t>
      </w:r>
    </w:p>
    <w:p w:rsidR="002D2461" w:rsidRDefault="00C927DB" w:rsidP="002D2461">
      <w:pPr>
        <w:pStyle w:val="ListParagraph"/>
        <w:ind w:left="1080" w:firstLine="0"/>
        <w:rPr>
          <w:rFonts w:ascii="Times New Roman" w:hAnsi="Times New Roman" w:cs="Times New Roman"/>
        </w:rPr>
      </w:pPr>
      <w:proofErr w:type="gramStart"/>
      <w:r w:rsidRPr="00996368">
        <w:rPr>
          <w:rFonts w:ascii="Times New Roman" w:hAnsi="Times New Roman" w:cs="Times New Roman"/>
        </w:rPr>
        <w:t>suggests</w:t>
      </w:r>
      <w:proofErr w:type="gramEnd"/>
      <w:r w:rsidRPr="00996368">
        <w:rPr>
          <w:rFonts w:ascii="Times New Roman" w:hAnsi="Times New Roman" w:cs="Times New Roman"/>
        </w:rPr>
        <w:t xml:space="preserve"> that the research places subjects or others at a greater risk of harm (including physical, psychological, economic, or social harm) than was previously known or recognized. </w:t>
      </w:r>
    </w:p>
    <w:p w:rsidR="002D2461" w:rsidRDefault="002D2461" w:rsidP="002D2461">
      <w:pPr>
        <w:pStyle w:val="ListParagraph"/>
        <w:ind w:left="1080" w:firstLine="0"/>
        <w:rPr>
          <w:rFonts w:ascii="Times New Roman" w:hAnsi="Times New Roman" w:cs="Times New Roman"/>
        </w:rPr>
      </w:pPr>
    </w:p>
    <w:p w:rsidR="002D2461" w:rsidRDefault="00C927DB" w:rsidP="002D2461">
      <w:pPr>
        <w:pStyle w:val="ListParagraph"/>
        <w:ind w:firstLine="0"/>
        <w:rPr>
          <w:rFonts w:ascii="Times New Roman" w:hAnsi="Times New Roman" w:cs="Times New Roman"/>
          <w:i/>
        </w:rPr>
      </w:pPr>
      <w:r w:rsidRPr="002D2461">
        <w:rPr>
          <w:rFonts w:ascii="Times New Roman" w:hAnsi="Times New Roman" w:cs="Times New Roman"/>
          <w:i/>
        </w:rPr>
        <w:t xml:space="preserve">NOTE: </w:t>
      </w:r>
    </w:p>
    <w:p w:rsidR="002D2461" w:rsidRPr="00456C48" w:rsidRDefault="00C927DB" w:rsidP="002D2461">
      <w:pPr>
        <w:pStyle w:val="ListParagraph"/>
        <w:numPr>
          <w:ilvl w:val="0"/>
          <w:numId w:val="18"/>
        </w:numPr>
        <w:rPr>
          <w:rFonts w:ascii="Times New Roman" w:hAnsi="Times New Roman" w:cs="Times New Roman"/>
        </w:rPr>
      </w:pPr>
      <w:r w:rsidRPr="002D2461">
        <w:rPr>
          <w:rFonts w:ascii="Times New Roman" w:hAnsi="Times New Roman" w:cs="Times New Roman"/>
          <w:i/>
        </w:rPr>
        <w:t>A “UP” generally will warrant consideration of substantive changes in the research protocol or informed consent process/document, or other corrective actions, in order to protect the safety, welfare, or rights of subjects or others.</w:t>
      </w:r>
    </w:p>
    <w:p w:rsidR="00456C48" w:rsidRDefault="00456C48" w:rsidP="00456C48">
      <w:pPr>
        <w:pStyle w:val="ListParagraph"/>
        <w:ind w:left="1440" w:firstLine="0"/>
        <w:rPr>
          <w:rFonts w:ascii="Times New Roman" w:hAnsi="Times New Roman" w:cs="Times New Roman"/>
        </w:rPr>
      </w:pPr>
    </w:p>
    <w:p w:rsidR="002D2461" w:rsidRDefault="00C927DB" w:rsidP="002D2461">
      <w:pPr>
        <w:pStyle w:val="ListParagraph"/>
        <w:numPr>
          <w:ilvl w:val="0"/>
          <w:numId w:val="16"/>
        </w:numPr>
        <w:rPr>
          <w:rFonts w:ascii="Times New Roman" w:hAnsi="Times New Roman" w:cs="Times New Roman"/>
        </w:rPr>
      </w:pPr>
      <w:r w:rsidRPr="002D2461">
        <w:rPr>
          <w:rFonts w:ascii="Times New Roman" w:hAnsi="Times New Roman" w:cs="Times New Roman"/>
          <w:b/>
        </w:rPr>
        <w:t>New Information</w:t>
      </w:r>
      <w:r w:rsidRPr="002D2461">
        <w:rPr>
          <w:rFonts w:ascii="Times New Roman" w:hAnsi="Times New Roman" w:cs="Times New Roman"/>
        </w:rPr>
        <w:t xml:space="preserve"> that indicates a change to the risks or potential benefits of the research in terms of severity or frequency (e.g., analysis indicates lower-than-expected response rate or a more </w:t>
      </w:r>
      <w:r w:rsidRPr="002D2461">
        <w:rPr>
          <w:rFonts w:ascii="Times New Roman" w:hAnsi="Times New Roman" w:cs="Times New Roman"/>
        </w:rPr>
        <w:lastRenderedPageBreak/>
        <w:t>severe or frequent side effect; other research finds arm of study has no therapeutic value; FDA labeling change or withdrawal from market)</w:t>
      </w:r>
    </w:p>
    <w:p w:rsidR="00762826" w:rsidRDefault="00762826" w:rsidP="00762826">
      <w:pPr>
        <w:pStyle w:val="ListParagraph"/>
        <w:ind w:firstLine="0"/>
        <w:rPr>
          <w:rFonts w:ascii="Times New Roman" w:hAnsi="Times New Roman" w:cs="Times New Roman"/>
        </w:rPr>
      </w:pPr>
    </w:p>
    <w:p w:rsidR="00762826" w:rsidRDefault="00762826" w:rsidP="00762826">
      <w:pPr>
        <w:pStyle w:val="ListParagraph"/>
        <w:numPr>
          <w:ilvl w:val="0"/>
          <w:numId w:val="16"/>
        </w:numPr>
        <w:ind w:left="360" w:firstLine="0"/>
        <w:rPr>
          <w:rFonts w:ascii="Times New Roman" w:hAnsi="Times New Roman" w:cs="Times New Roman"/>
        </w:rPr>
      </w:pPr>
      <w:r w:rsidRPr="00762826">
        <w:rPr>
          <w:rFonts w:ascii="Times New Roman" w:hAnsi="Times New Roman" w:cs="Times New Roman"/>
          <w:b/>
        </w:rPr>
        <w:t>Protocol Violation or Deviation</w:t>
      </w:r>
      <w:r w:rsidRPr="002D2461">
        <w:rPr>
          <w:rFonts w:ascii="Times New Roman" w:hAnsi="Times New Roman" w:cs="Times New Roman"/>
        </w:rPr>
        <w:t xml:space="preserve">, </w:t>
      </w:r>
      <w:r w:rsidRPr="002D2461">
        <w:rPr>
          <w:rFonts w:ascii="Times New Roman" w:hAnsi="Times New Roman" w:cs="Times New Roman"/>
          <w:i/>
        </w:rPr>
        <w:t>only if:</w:t>
      </w:r>
      <w:r w:rsidRPr="002D2461">
        <w:rPr>
          <w:rFonts w:ascii="Times New Roman" w:hAnsi="Times New Roman" w:cs="Times New Roman"/>
        </w:rPr>
        <w:t xml:space="preserve"> </w:t>
      </w:r>
    </w:p>
    <w:p w:rsidR="00762826" w:rsidRDefault="00762826" w:rsidP="00762826">
      <w:pPr>
        <w:pStyle w:val="ListParagraph"/>
        <w:numPr>
          <w:ilvl w:val="0"/>
          <w:numId w:val="20"/>
        </w:numPr>
        <w:rPr>
          <w:rFonts w:ascii="Times New Roman" w:hAnsi="Times New Roman" w:cs="Times New Roman"/>
        </w:rPr>
      </w:pPr>
      <w:r w:rsidRPr="002D2461">
        <w:rPr>
          <w:rFonts w:ascii="Times New Roman" w:hAnsi="Times New Roman" w:cs="Times New Roman"/>
        </w:rPr>
        <w:t>Intended to eliminate apparent immediate hazard to a research participant, or</w:t>
      </w:r>
    </w:p>
    <w:p w:rsidR="00762826" w:rsidRDefault="00762826" w:rsidP="00762826">
      <w:pPr>
        <w:pStyle w:val="ListParagraph"/>
        <w:numPr>
          <w:ilvl w:val="0"/>
          <w:numId w:val="20"/>
        </w:numPr>
        <w:rPr>
          <w:rFonts w:ascii="Times New Roman" w:hAnsi="Times New Roman" w:cs="Times New Roman"/>
        </w:rPr>
      </w:pPr>
      <w:r w:rsidRPr="002D2461">
        <w:rPr>
          <w:rFonts w:ascii="Times New Roman" w:hAnsi="Times New Roman" w:cs="Times New Roman"/>
        </w:rPr>
        <w:t xml:space="preserve">Harmful (caused harm to participants or others, or placed them at increased risk of harm - including physical, psychological, economic, or social harm), or </w:t>
      </w:r>
    </w:p>
    <w:p w:rsidR="00762826" w:rsidRDefault="00762826" w:rsidP="00762826">
      <w:pPr>
        <w:pStyle w:val="ListParagraph"/>
        <w:numPr>
          <w:ilvl w:val="0"/>
          <w:numId w:val="20"/>
        </w:numPr>
        <w:rPr>
          <w:rFonts w:ascii="Times New Roman" w:hAnsi="Times New Roman" w:cs="Times New Roman"/>
        </w:rPr>
      </w:pPr>
      <w:r w:rsidRPr="002D2461">
        <w:rPr>
          <w:rFonts w:ascii="Times New Roman" w:hAnsi="Times New Roman" w:cs="Times New Roman"/>
        </w:rPr>
        <w:t>Possible serious or continued noncompliance.</w:t>
      </w:r>
    </w:p>
    <w:p w:rsidR="00762826" w:rsidRDefault="00762826" w:rsidP="00762826">
      <w:pPr>
        <w:pStyle w:val="ListParagraph"/>
        <w:ind w:left="1080" w:firstLine="0"/>
        <w:rPr>
          <w:rFonts w:ascii="Times New Roman" w:hAnsi="Times New Roman" w:cs="Times New Roman"/>
        </w:rPr>
      </w:pPr>
    </w:p>
    <w:p w:rsidR="002D2461" w:rsidRDefault="00762826" w:rsidP="002D2461">
      <w:pPr>
        <w:pStyle w:val="ListParagraph"/>
        <w:numPr>
          <w:ilvl w:val="0"/>
          <w:numId w:val="16"/>
        </w:numPr>
        <w:rPr>
          <w:rFonts w:ascii="Times New Roman" w:hAnsi="Times New Roman" w:cs="Times New Roman"/>
        </w:rPr>
      </w:pPr>
      <w:r w:rsidRPr="00762826">
        <w:rPr>
          <w:rFonts w:ascii="Times New Roman" w:hAnsi="Times New Roman" w:cs="Times New Roman"/>
          <w:b/>
        </w:rPr>
        <w:t>Complaint</w:t>
      </w:r>
      <w:r w:rsidRPr="002D2461">
        <w:rPr>
          <w:rFonts w:ascii="Times New Roman" w:hAnsi="Times New Roman" w:cs="Times New Roman"/>
        </w:rPr>
        <w:t xml:space="preserve"> unresolved by the research team, or that indicates increased or unexpected risks.</w:t>
      </w:r>
    </w:p>
    <w:p w:rsidR="002D2461" w:rsidRDefault="002D2461" w:rsidP="002D2461">
      <w:pPr>
        <w:pStyle w:val="ListParagraph"/>
        <w:ind w:left="1440" w:hanging="1080"/>
        <w:rPr>
          <w:rFonts w:ascii="Times New Roman" w:hAnsi="Times New Roman" w:cs="Times New Roman"/>
        </w:rPr>
      </w:pPr>
    </w:p>
    <w:p w:rsidR="002D2461" w:rsidRDefault="00762826" w:rsidP="002D2461">
      <w:pPr>
        <w:pStyle w:val="ListParagraph"/>
        <w:numPr>
          <w:ilvl w:val="0"/>
          <w:numId w:val="16"/>
        </w:numPr>
        <w:rPr>
          <w:rFonts w:ascii="Times New Roman" w:hAnsi="Times New Roman" w:cs="Times New Roman"/>
        </w:rPr>
      </w:pPr>
      <w:r w:rsidRPr="00762826">
        <w:rPr>
          <w:rFonts w:ascii="Times New Roman" w:hAnsi="Times New Roman" w:cs="Times New Roman"/>
          <w:b/>
        </w:rPr>
        <w:t>Incarceration</w:t>
      </w:r>
      <w:r w:rsidR="00BB02C9">
        <w:rPr>
          <w:rFonts w:ascii="Times New Roman" w:hAnsi="Times New Roman" w:cs="Times New Roman"/>
        </w:rPr>
        <w:t xml:space="preserve"> when in the opinion of the PI</w:t>
      </w:r>
      <w:r w:rsidRPr="002D2461">
        <w:rPr>
          <w:rFonts w:ascii="Times New Roman" w:hAnsi="Times New Roman" w:cs="Times New Roman"/>
        </w:rPr>
        <w:t xml:space="preserve"> it is in the best interest of the participant to remain on the study.</w:t>
      </w:r>
    </w:p>
    <w:p w:rsidR="00762826" w:rsidRDefault="00762826" w:rsidP="00762826">
      <w:pPr>
        <w:pStyle w:val="ListParagraph"/>
        <w:ind w:firstLine="0"/>
        <w:rPr>
          <w:rFonts w:ascii="Times New Roman" w:hAnsi="Times New Roman" w:cs="Times New Roman"/>
        </w:rPr>
      </w:pPr>
    </w:p>
    <w:p w:rsidR="00762826" w:rsidRPr="00762826" w:rsidRDefault="00762826" w:rsidP="002D2461">
      <w:pPr>
        <w:pStyle w:val="ListParagraph"/>
        <w:numPr>
          <w:ilvl w:val="0"/>
          <w:numId w:val="16"/>
        </w:numPr>
        <w:rPr>
          <w:rFonts w:ascii="Times New Roman" w:hAnsi="Times New Roman" w:cs="Times New Roman"/>
        </w:rPr>
      </w:pPr>
      <w:r w:rsidRPr="00762826">
        <w:rPr>
          <w:rFonts w:ascii="Times New Roman" w:hAnsi="Times New Roman" w:cs="Times New Roman"/>
          <w:b/>
        </w:rPr>
        <w:t>Unanticipated adverse device effect (UADE)</w:t>
      </w:r>
    </w:p>
    <w:p w:rsidR="00762826" w:rsidRDefault="00762826" w:rsidP="00762826">
      <w:pPr>
        <w:pStyle w:val="ListParagraph"/>
        <w:ind w:firstLine="0"/>
        <w:rPr>
          <w:rFonts w:ascii="Times New Roman" w:hAnsi="Times New Roman" w:cs="Times New Roman"/>
        </w:rPr>
      </w:pPr>
      <w:r w:rsidRPr="002D2461">
        <w:rPr>
          <w:rFonts w:ascii="Times New Roman" w:hAnsi="Times New Roman" w:cs="Times New Roman"/>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 21 CFR 812.3(s)</w:t>
      </w:r>
    </w:p>
    <w:p w:rsidR="00762826" w:rsidRDefault="00762826" w:rsidP="00762826">
      <w:pPr>
        <w:pStyle w:val="ListParagraph"/>
        <w:ind w:firstLine="0"/>
        <w:rPr>
          <w:rFonts w:ascii="Times New Roman" w:hAnsi="Times New Roman" w:cs="Times New Roman"/>
        </w:rPr>
      </w:pPr>
    </w:p>
    <w:p w:rsidR="00762826" w:rsidRDefault="00762826" w:rsidP="002D2461">
      <w:pPr>
        <w:pStyle w:val="ListParagraph"/>
        <w:numPr>
          <w:ilvl w:val="0"/>
          <w:numId w:val="16"/>
        </w:numPr>
        <w:rPr>
          <w:rFonts w:ascii="Times New Roman" w:hAnsi="Times New Roman" w:cs="Times New Roman"/>
        </w:rPr>
      </w:pPr>
      <w:r w:rsidRPr="00762826">
        <w:rPr>
          <w:rFonts w:ascii="Times New Roman" w:hAnsi="Times New Roman" w:cs="Times New Roman"/>
          <w:b/>
        </w:rPr>
        <w:t>Other events or information</w:t>
      </w:r>
    </w:p>
    <w:p w:rsidR="00762826" w:rsidRDefault="00762826" w:rsidP="00762826">
      <w:pPr>
        <w:pStyle w:val="ListParagraph"/>
        <w:ind w:firstLine="0"/>
        <w:rPr>
          <w:rFonts w:ascii="Times New Roman" w:hAnsi="Times New Roman" w:cs="Times New Roman"/>
        </w:rPr>
      </w:pPr>
      <w:r w:rsidRPr="002D2461">
        <w:rPr>
          <w:rFonts w:ascii="Times New Roman" w:hAnsi="Times New Roman" w:cs="Times New Roman"/>
        </w:rPr>
        <w:t>Examples include major deficiencies identified in audits</w:t>
      </w:r>
      <w:r>
        <w:rPr>
          <w:rFonts w:ascii="Times New Roman" w:hAnsi="Times New Roman" w:cs="Times New Roman"/>
        </w:rPr>
        <w:t>.</w:t>
      </w:r>
    </w:p>
    <w:p w:rsidR="00762826" w:rsidRPr="00762826" w:rsidRDefault="00762826" w:rsidP="00762826">
      <w:pPr>
        <w:pStyle w:val="ListParagraph"/>
        <w:ind w:firstLine="0"/>
        <w:rPr>
          <w:rFonts w:ascii="Times New Roman" w:hAnsi="Times New Roman" w:cs="Times New Roman"/>
        </w:rPr>
      </w:pPr>
    </w:p>
    <w:p w:rsidR="00762826" w:rsidRDefault="00762826" w:rsidP="00762826">
      <w:pPr>
        <w:pStyle w:val="ListParagraph"/>
        <w:ind w:hanging="720"/>
        <w:rPr>
          <w:rFonts w:ascii="Times New Roman" w:hAnsi="Times New Roman" w:cs="Times New Roman"/>
        </w:rPr>
      </w:pPr>
      <w:r w:rsidRPr="00762826">
        <w:rPr>
          <w:rFonts w:ascii="Times New Roman" w:hAnsi="Times New Roman" w:cs="Times New Roman"/>
          <w:b/>
          <w:sz w:val="28"/>
          <w:szCs w:val="28"/>
        </w:rPr>
        <w:t>M</w:t>
      </w:r>
      <w:r w:rsidR="00C927DB" w:rsidRPr="00762826">
        <w:rPr>
          <w:rFonts w:ascii="Times New Roman" w:hAnsi="Times New Roman" w:cs="Times New Roman"/>
          <w:b/>
          <w:sz w:val="28"/>
          <w:szCs w:val="28"/>
        </w:rPr>
        <w:t>ore guidance on UPs</w:t>
      </w:r>
      <w:r w:rsidR="00C927DB" w:rsidRPr="002D2461">
        <w:rPr>
          <w:rFonts w:ascii="Times New Roman" w:hAnsi="Times New Roman" w:cs="Times New Roman"/>
        </w:rPr>
        <w:t xml:space="preserve"> </w:t>
      </w:r>
    </w:p>
    <w:p w:rsidR="00762826" w:rsidRDefault="00C927DB" w:rsidP="00762826">
      <w:pPr>
        <w:pStyle w:val="ListParagraph"/>
        <w:numPr>
          <w:ilvl w:val="0"/>
          <w:numId w:val="21"/>
        </w:numPr>
        <w:rPr>
          <w:rFonts w:ascii="Times New Roman" w:hAnsi="Times New Roman" w:cs="Times New Roman"/>
        </w:rPr>
      </w:pPr>
      <w:r w:rsidRPr="00762826">
        <w:rPr>
          <w:rFonts w:ascii="Times New Roman" w:hAnsi="Times New Roman" w:cs="Times New Roman"/>
          <w:b/>
        </w:rPr>
        <w:t>Unexpected</w:t>
      </w:r>
      <w:r w:rsidRPr="002D2461">
        <w:rPr>
          <w:rFonts w:ascii="Times New Roman" w:hAnsi="Times New Roman" w:cs="Times New Roman"/>
        </w:rPr>
        <w:t xml:space="preserve"> </w:t>
      </w:r>
    </w:p>
    <w:p w:rsidR="00762826" w:rsidRDefault="00762826" w:rsidP="00902710">
      <w:pPr>
        <w:pStyle w:val="ListParagraph"/>
        <w:spacing w:after="0"/>
        <w:ind w:left="1440" w:firstLine="0"/>
        <w:rPr>
          <w:rFonts w:ascii="Times New Roman" w:hAnsi="Times New Roman" w:cs="Times New Roman"/>
        </w:rPr>
      </w:pPr>
      <w:proofErr w:type="gramStart"/>
      <w:r w:rsidRPr="00762826">
        <w:rPr>
          <w:rFonts w:ascii="Times New Roman" w:hAnsi="Times New Roman" w:cs="Times New Roman"/>
          <w:b/>
        </w:rPr>
        <w:t>protocol-related</w:t>
      </w:r>
      <w:proofErr w:type="gramEnd"/>
      <w:r w:rsidRPr="00762826">
        <w:rPr>
          <w:rFonts w:ascii="Times New Roman" w:hAnsi="Times New Roman" w:cs="Times New Roman"/>
          <w:b/>
        </w:rPr>
        <w:t xml:space="preserve"> documents</w:t>
      </w:r>
      <w:r w:rsidRPr="002D2461">
        <w:rPr>
          <w:rFonts w:ascii="Times New Roman" w:hAnsi="Times New Roman" w:cs="Times New Roman"/>
        </w:rPr>
        <w:t xml:space="preserve"> refer to the IRB-approved research protocol, informed consent document, investigator brochure, protocol, package insert, or label.</w:t>
      </w:r>
    </w:p>
    <w:p w:rsidR="00762826" w:rsidRDefault="00762826" w:rsidP="00902710">
      <w:pPr>
        <w:pStyle w:val="ListParagraph"/>
        <w:spacing w:after="0"/>
        <w:ind w:left="1440" w:firstLine="0"/>
        <w:rPr>
          <w:rFonts w:ascii="Times New Roman" w:hAnsi="Times New Roman" w:cs="Times New Roman"/>
        </w:rPr>
      </w:pPr>
    </w:p>
    <w:p w:rsidR="00762826" w:rsidRDefault="00762826" w:rsidP="00902710">
      <w:pPr>
        <w:pStyle w:val="ListParagraph"/>
        <w:spacing w:after="0"/>
        <w:ind w:left="1440" w:firstLine="0"/>
        <w:rPr>
          <w:rFonts w:ascii="Times New Roman" w:hAnsi="Times New Roman" w:cs="Times New Roman"/>
        </w:rPr>
      </w:pPr>
      <w:proofErr w:type="gramStart"/>
      <w:r w:rsidRPr="00762826">
        <w:rPr>
          <w:rFonts w:ascii="Times New Roman" w:hAnsi="Times New Roman" w:cs="Times New Roman"/>
          <w:b/>
        </w:rPr>
        <w:t>characteristics</w:t>
      </w:r>
      <w:proofErr w:type="gramEnd"/>
      <w:r w:rsidRPr="00762826">
        <w:rPr>
          <w:rFonts w:ascii="Times New Roman" w:hAnsi="Times New Roman" w:cs="Times New Roman"/>
          <w:b/>
        </w:rPr>
        <w:t xml:space="preserve"> of the subject population being studied</w:t>
      </w:r>
      <w:r w:rsidRPr="002D2461">
        <w:rPr>
          <w:rFonts w:ascii="Times New Roman" w:hAnsi="Times New Roman" w:cs="Times New Roman"/>
        </w:rPr>
        <w:t xml:space="preserve"> refer to the expected natural progression of any underlying disease, disorder, or condition of the subject(s) experiencing the adverse event and the subject’s predisposing risk factor profile for the adverse event.</w:t>
      </w:r>
    </w:p>
    <w:p w:rsidR="00762826" w:rsidRDefault="00762826" w:rsidP="00902710">
      <w:pPr>
        <w:pStyle w:val="ListParagraph"/>
        <w:spacing w:after="0"/>
        <w:ind w:left="1440" w:firstLine="0"/>
        <w:rPr>
          <w:rFonts w:ascii="Times New Roman" w:hAnsi="Times New Roman" w:cs="Times New Roman"/>
        </w:rPr>
      </w:pPr>
    </w:p>
    <w:p w:rsidR="00762826" w:rsidRDefault="00762826" w:rsidP="00762826">
      <w:pPr>
        <w:pStyle w:val="ListParagraph"/>
        <w:numPr>
          <w:ilvl w:val="0"/>
          <w:numId w:val="21"/>
        </w:numPr>
        <w:rPr>
          <w:rFonts w:ascii="Times New Roman" w:hAnsi="Times New Roman" w:cs="Times New Roman"/>
        </w:rPr>
      </w:pPr>
      <w:r w:rsidRPr="00762826">
        <w:rPr>
          <w:rFonts w:ascii="Times New Roman" w:hAnsi="Times New Roman" w:cs="Times New Roman"/>
          <w:b/>
        </w:rPr>
        <w:t>Related to participation in the research</w:t>
      </w:r>
      <w:r w:rsidRPr="002D2461">
        <w:rPr>
          <w:rFonts w:ascii="Times New Roman" w:hAnsi="Times New Roman" w:cs="Times New Roman"/>
        </w:rPr>
        <w:t xml:space="preserve"> or there is a reasonable possibility</w:t>
      </w:r>
    </w:p>
    <w:p w:rsidR="00762826" w:rsidRPr="00762826" w:rsidRDefault="00762826" w:rsidP="00762826">
      <w:pPr>
        <w:pStyle w:val="ListParagraph"/>
        <w:ind w:firstLine="0"/>
        <w:rPr>
          <w:rFonts w:ascii="Times New Roman" w:hAnsi="Times New Roman" w:cs="Times New Roman"/>
        </w:rPr>
      </w:pPr>
      <w:r>
        <w:rPr>
          <w:rFonts w:ascii="Times New Roman" w:hAnsi="Times New Roman" w:cs="Times New Roman"/>
          <w:b/>
        </w:rPr>
        <w:t xml:space="preserve">    </w:t>
      </w:r>
      <w:r w:rsidRPr="00762826">
        <w:rPr>
          <w:rFonts w:ascii="Times New Roman" w:hAnsi="Times New Roman" w:cs="Times New Roman"/>
        </w:rPr>
        <w:t>In general if event is determined to be caused:</w:t>
      </w:r>
    </w:p>
    <w:p w:rsidR="005F64F1" w:rsidRDefault="005F64F1" w:rsidP="005F64F1">
      <w:pPr>
        <w:pStyle w:val="ListParagraph"/>
        <w:numPr>
          <w:ilvl w:val="1"/>
          <w:numId w:val="21"/>
        </w:numPr>
        <w:rPr>
          <w:rFonts w:ascii="Times New Roman" w:hAnsi="Times New Roman" w:cs="Times New Roman"/>
        </w:rPr>
      </w:pPr>
      <w:r w:rsidRPr="002D2461">
        <w:rPr>
          <w:rFonts w:ascii="Times New Roman" w:hAnsi="Times New Roman" w:cs="Times New Roman"/>
        </w:rPr>
        <w:t>at least partially by the procedures involved in the research it would be considered related to participation in the research;</w:t>
      </w:r>
      <w:r w:rsidRPr="005F64F1">
        <w:rPr>
          <w:rFonts w:ascii="Times New Roman" w:hAnsi="Times New Roman" w:cs="Times New Roman"/>
        </w:rPr>
        <w:t xml:space="preserve"> </w:t>
      </w:r>
    </w:p>
    <w:p w:rsidR="00762826" w:rsidRDefault="005F64F1" w:rsidP="005F64F1">
      <w:pPr>
        <w:pStyle w:val="ListParagraph"/>
        <w:numPr>
          <w:ilvl w:val="1"/>
          <w:numId w:val="21"/>
        </w:numPr>
        <w:rPr>
          <w:rFonts w:ascii="Times New Roman" w:hAnsi="Times New Roman" w:cs="Times New Roman"/>
        </w:rPr>
      </w:pPr>
      <w:r w:rsidRPr="002D2461">
        <w:rPr>
          <w:rFonts w:ascii="Times New Roman" w:hAnsi="Times New Roman" w:cs="Times New Roman"/>
        </w:rPr>
        <w:t xml:space="preserve">solely by an underlying disease, disorder, or condition of the subject, or other circumstances unrelated to either the research or any underlying disease, disorder, or condition of the subject it would be considered </w:t>
      </w:r>
      <w:r w:rsidRPr="005F64F1">
        <w:rPr>
          <w:rFonts w:ascii="Times New Roman" w:hAnsi="Times New Roman" w:cs="Times New Roman"/>
          <w:b/>
        </w:rPr>
        <w:t>unrelated</w:t>
      </w:r>
      <w:r w:rsidRPr="002D2461">
        <w:rPr>
          <w:rFonts w:ascii="Times New Roman" w:hAnsi="Times New Roman" w:cs="Times New Roman"/>
        </w:rPr>
        <w:t xml:space="preserve"> to participation in the research.</w:t>
      </w:r>
    </w:p>
    <w:p w:rsidR="00902710" w:rsidRDefault="00902710" w:rsidP="00902710">
      <w:pPr>
        <w:pStyle w:val="ListParagraph"/>
        <w:ind w:left="1440" w:firstLine="0"/>
        <w:rPr>
          <w:rFonts w:ascii="Times New Roman" w:hAnsi="Times New Roman" w:cs="Times New Roman"/>
        </w:rPr>
      </w:pPr>
    </w:p>
    <w:p w:rsidR="00902710" w:rsidRDefault="00902710" w:rsidP="00902710">
      <w:pPr>
        <w:pStyle w:val="ListParagraph"/>
        <w:ind w:left="1440" w:firstLine="0"/>
        <w:rPr>
          <w:rFonts w:ascii="Times New Roman" w:hAnsi="Times New Roman" w:cs="Times New Roman"/>
        </w:rPr>
      </w:pPr>
    </w:p>
    <w:p w:rsidR="005F64F1" w:rsidRPr="005F64F1" w:rsidRDefault="005F64F1" w:rsidP="00762826">
      <w:pPr>
        <w:pStyle w:val="ListParagraph"/>
        <w:numPr>
          <w:ilvl w:val="0"/>
          <w:numId w:val="21"/>
        </w:numPr>
        <w:rPr>
          <w:rFonts w:ascii="Times New Roman" w:hAnsi="Times New Roman" w:cs="Times New Roman"/>
          <w:b/>
        </w:rPr>
      </w:pPr>
      <w:r w:rsidRPr="005F64F1">
        <w:rPr>
          <w:rFonts w:ascii="Times New Roman" w:hAnsi="Times New Roman" w:cs="Times New Roman"/>
          <w:b/>
        </w:rPr>
        <w:t>Harmful</w:t>
      </w:r>
      <w:r w:rsidRPr="005F64F1">
        <w:rPr>
          <w:rFonts w:ascii="Times New Roman" w:hAnsi="Times New Roman" w:cs="Times New Roman"/>
        </w:rPr>
        <w:t xml:space="preserve"> </w:t>
      </w:r>
    </w:p>
    <w:p w:rsidR="00762826" w:rsidRPr="005F64F1" w:rsidRDefault="005F64F1" w:rsidP="005F64F1">
      <w:pPr>
        <w:pStyle w:val="ListParagraph"/>
        <w:ind w:left="900" w:hanging="180"/>
        <w:rPr>
          <w:rFonts w:ascii="Times New Roman" w:hAnsi="Times New Roman" w:cs="Times New Roman"/>
          <w:b/>
        </w:rPr>
      </w:pPr>
      <w:r>
        <w:rPr>
          <w:rFonts w:ascii="Times New Roman" w:hAnsi="Times New Roman" w:cs="Times New Roman"/>
        </w:rPr>
        <w:t xml:space="preserve">   </w:t>
      </w:r>
      <w:r w:rsidRPr="002D2461">
        <w:rPr>
          <w:rFonts w:ascii="Times New Roman" w:hAnsi="Times New Roman" w:cs="Times New Roman"/>
        </w:rPr>
        <w:t>Adverse events need not be “serious” to qualify as “harmful”. However, “serious adverse events” always meet the “Harmful” criterion.</w:t>
      </w:r>
    </w:p>
    <w:p w:rsidR="005F64F1" w:rsidRPr="005F64F1" w:rsidRDefault="005F64F1" w:rsidP="00902710">
      <w:pPr>
        <w:pStyle w:val="ListParagraph"/>
        <w:numPr>
          <w:ilvl w:val="1"/>
          <w:numId w:val="21"/>
        </w:numPr>
        <w:rPr>
          <w:rFonts w:ascii="Times New Roman" w:hAnsi="Times New Roman" w:cs="Times New Roman"/>
          <w:b/>
        </w:rPr>
      </w:pPr>
      <w:r w:rsidRPr="005F64F1">
        <w:rPr>
          <w:rFonts w:ascii="Times New Roman" w:hAnsi="Times New Roman" w:cs="Times New Roman"/>
          <w:b/>
        </w:rPr>
        <w:t>Serious adverse event</w:t>
      </w:r>
      <w:r w:rsidRPr="002D2461">
        <w:rPr>
          <w:rFonts w:ascii="Times New Roman" w:hAnsi="Times New Roman" w:cs="Times New Roman"/>
        </w:rPr>
        <w:t xml:space="preserve"> is defined by OHRP as an event that:</w:t>
      </w:r>
    </w:p>
    <w:p w:rsidR="00902710" w:rsidRPr="00902710" w:rsidRDefault="005F64F1" w:rsidP="00902710">
      <w:pPr>
        <w:pStyle w:val="ListParagraph"/>
        <w:numPr>
          <w:ilvl w:val="0"/>
          <w:numId w:val="22"/>
        </w:numPr>
        <w:rPr>
          <w:rFonts w:ascii="Times New Roman" w:hAnsi="Times New Roman" w:cs="Times New Roman"/>
        </w:rPr>
      </w:pPr>
      <w:r w:rsidRPr="00902710">
        <w:rPr>
          <w:rFonts w:ascii="Times New Roman" w:hAnsi="Times New Roman" w:cs="Times New Roman"/>
        </w:rPr>
        <w:t>results in death;</w:t>
      </w:r>
    </w:p>
    <w:p w:rsidR="00902710" w:rsidRDefault="005F64F1" w:rsidP="00902710">
      <w:pPr>
        <w:pStyle w:val="ListParagraph"/>
        <w:numPr>
          <w:ilvl w:val="0"/>
          <w:numId w:val="22"/>
        </w:numPr>
        <w:rPr>
          <w:rFonts w:ascii="Times New Roman" w:hAnsi="Times New Roman" w:cs="Times New Roman"/>
        </w:rPr>
      </w:pPr>
      <w:r w:rsidRPr="00902710">
        <w:rPr>
          <w:rFonts w:ascii="Times New Roman" w:hAnsi="Times New Roman" w:cs="Times New Roman"/>
        </w:rPr>
        <w:t>is life-threatening (places the subject at immediate risk of death from the event as it occurred);</w:t>
      </w:r>
    </w:p>
    <w:p w:rsidR="00902710" w:rsidRDefault="005F64F1" w:rsidP="00902710">
      <w:pPr>
        <w:pStyle w:val="ListParagraph"/>
        <w:numPr>
          <w:ilvl w:val="0"/>
          <w:numId w:val="22"/>
        </w:numPr>
        <w:rPr>
          <w:rFonts w:ascii="Times New Roman" w:hAnsi="Times New Roman" w:cs="Times New Roman"/>
        </w:rPr>
      </w:pPr>
      <w:r w:rsidRPr="00902710">
        <w:rPr>
          <w:rFonts w:ascii="Times New Roman" w:hAnsi="Times New Roman" w:cs="Times New Roman"/>
        </w:rPr>
        <w:t>results in inpatient hospitalization or prolongation of existing hospitalization;</w:t>
      </w:r>
    </w:p>
    <w:p w:rsidR="00902710" w:rsidRDefault="005F64F1" w:rsidP="00902710">
      <w:pPr>
        <w:pStyle w:val="ListParagraph"/>
        <w:numPr>
          <w:ilvl w:val="0"/>
          <w:numId w:val="22"/>
        </w:numPr>
        <w:rPr>
          <w:rFonts w:ascii="Times New Roman" w:hAnsi="Times New Roman" w:cs="Times New Roman"/>
        </w:rPr>
      </w:pPr>
      <w:r w:rsidRPr="00902710">
        <w:rPr>
          <w:rFonts w:ascii="Times New Roman" w:hAnsi="Times New Roman" w:cs="Times New Roman"/>
        </w:rPr>
        <w:t xml:space="preserve">results in a persistent or significant disability/incapacity; </w:t>
      </w:r>
    </w:p>
    <w:p w:rsidR="00902710" w:rsidRDefault="005F64F1" w:rsidP="00902710">
      <w:pPr>
        <w:pStyle w:val="ListParagraph"/>
        <w:numPr>
          <w:ilvl w:val="0"/>
          <w:numId w:val="22"/>
        </w:numPr>
        <w:rPr>
          <w:rFonts w:ascii="Times New Roman" w:hAnsi="Times New Roman" w:cs="Times New Roman"/>
        </w:rPr>
      </w:pPr>
      <w:r w:rsidRPr="00902710">
        <w:rPr>
          <w:rFonts w:ascii="Times New Roman" w:hAnsi="Times New Roman" w:cs="Times New Roman"/>
        </w:rPr>
        <w:t xml:space="preserve">results in a congenital anomaly/birth defect; or </w:t>
      </w:r>
    </w:p>
    <w:p w:rsidR="005F64F1" w:rsidRPr="00902710" w:rsidRDefault="005F64F1" w:rsidP="00902710">
      <w:pPr>
        <w:pStyle w:val="ListParagraph"/>
        <w:numPr>
          <w:ilvl w:val="0"/>
          <w:numId w:val="22"/>
        </w:numPr>
        <w:rPr>
          <w:rFonts w:ascii="Times New Roman" w:hAnsi="Times New Roman" w:cs="Times New Roman"/>
        </w:rPr>
      </w:pPr>
      <w:r w:rsidRPr="00902710">
        <w:rPr>
          <w:rFonts w:ascii="Times New Roman" w:hAnsi="Times New Roman" w:cs="Times New Roman"/>
        </w:rPr>
        <w:t>based upon appropriate medical judgment, may jeopardize the subject’s health and may require medical or surgical intervention to prevent one of the other outcomes listed in this definition</w:t>
      </w:r>
    </w:p>
    <w:p w:rsidR="005F64F1" w:rsidRDefault="005F64F1" w:rsidP="00902710">
      <w:pPr>
        <w:pStyle w:val="ListParagraph"/>
        <w:numPr>
          <w:ilvl w:val="1"/>
          <w:numId w:val="21"/>
        </w:numPr>
        <w:rPr>
          <w:rFonts w:ascii="Times New Roman" w:hAnsi="Times New Roman" w:cs="Times New Roman"/>
        </w:rPr>
      </w:pPr>
      <w:r w:rsidRPr="002D2461">
        <w:rPr>
          <w:rFonts w:ascii="Times New Roman" w:hAnsi="Times New Roman" w:cs="Times New Roman"/>
        </w:rPr>
        <w:t>“</w:t>
      </w:r>
      <w:r w:rsidRPr="005F64F1">
        <w:rPr>
          <w:rFonts w:ascii="Times New Roman" w:hAnsi="Times New Roman" w:cs="Times New Roman"/>
          <w:b/>
        </w:rPr>
        <w:t>Not serious” adverse events might also be UPs</w:t>
      </w:r>
      <w:r w:rsidRPr="002D2461">
        <w:rPr>
          <w:rFonts w:ascii="Times New Roman" w:hAnsi="Times New Roman" w:cs="Times New Roman"/>
        </w:rPr>
        <w:t>: adverse events that are not serious would also be unanticipated problems if they suggest that the research places subjects or others at a greater risk of physical, psychological, economic, or social harm than was previously known or recognized.</w:t>
      </w:r>
    </w:p>
    <w:p w:rsidR="00902710" w:rsidRDefault="00902710" w:rsidP="00902710">
      <w:pPr>
        <w:pStyle w:val="ListParagraph"/>
        <w:ind w:left="1440" w:firstLine="0"/>
        <w:rPr>
          <w:rFonts w:ascii="Times New Roman" w:hAnsi="Times New Roman" w:cs="Times New Roman"/>
        </w:rPr>
      </w:pPr>
    </w:p>
    <w:p w:rsidR="005F64F1" w:rsidRDefault="00C927DB" w:rsidP="00902710">
      <w:pPr>
        <w:pStyle w:val="ListParagraph"/>
        <w:ind w:firstLine="0"/>
        <w:rPr>
          <w:rFonts w:ascii="Times New Roman" w:hAnsi="Times New Roman" w:cs="Times New Roman"/>
        </w:rPr>
      </w:pPr>
      <w:r w:rsidRPr="002D2461">
        <w:rPr>
          <w:rFonts w:ascii="Times New Roman" w:hAnsi="Times New Roman" w:cs="Times New Roman"/>
        </w:rPr>
        <w:t xml:space="preserve"> </w:t>
      </w:r>
      <w:r w:rsidRPr="005F64F1">
        <w:rPr>
          <w:rFonts w:ascii="Times New Roman" w:hAnsi="Times New Roman" w:cs="Times New Roman"/>
          <w:b/>
          <w:i/>
        </w:rPr>
        <w:t>FDA-regulated drug studies:</w:t>
      </w:r>
      <w:r w:rsidRPr="002D2461">
        <w:rPr>
          <w:rFonts w:ascii="Times New Roman" w:hAnsi="Times New Roman" w:cs="Times New Roman"/>
        </w:rPr>
        <w:t xml:space="preserve"> See definitions in FDA regulations at 21 CFR 312.32(a). </w:t>
      </w:r>
    </w:p>
    <w:p w:rsidR="005F64F1" w:rsidRDefault="005F64F1" w:rsidP="005F64F1">
      <w:pPr>
        <w:pStyle w:val="ListParagraph"/>
        <w:ind w:firstLine="0"/>
        <w:rPr>
          <w:rFonts w:ascii="Times New Roman" w:hAnsi="Times New Roman" w:cs="Times New Roman"/>
        </w:rPr>
      </w:pPr>
    </w:p>
    <w:p w:rsidR="005F64F1" w:rsidRDefault="00C927DB" w:rsidP="005F64F1">
      <w:pPr>
        <w:pStyle w:val="ListParagraph"/>
        <w:ind w:hanging="720"/>
        <w:rPr>
          <w:rFonts w:ascii="Times New Roman" w:hAnsi="Times New Roman" w:cs="Times New Roman"/>
        </w:rPr>
      </w:pPr>
      <w:r w:rsidRPr="005F64F1">
        <w:rPr>
          <w:rFonts w:ascii="Times New Roman" w:hAnsi="Times New Roman" w:cs="Times New Roman"/>
          <w:b/>
          <w:sz w:val="28"/>
          <w:szCs w:val="28"/>
        </w:rPr>
        <w:t>How to Submit a Report; Timeframes</w:t>
      </w:r>
      <w:r w:rsidRPr="002D2461">
        <w:rPr>
          <w:rFonts w:ascii="Times New Roman" w:hAnsi="Times New Roman" w:cs="Times New Roman"/>
        </w:rPr>
        <w:t xml:space="preserve"> </w:t>
      </w:r>
    </w:p>
    <w:p w:rsidR="00BB02C9" w:rsidRDefault="00C927DB" w:rsidP="00BB02C9">
      <w:pPr>
        <w:pStyle w:val="ListParagraph"/>
        <w:numPr>
          <w:ilvl w:val="0"/>
          <w:numId w:val="18"/>
        </w:numPr>
        <w:spacing w:line="276" w:lineRule="auto"/>
        <w:ind w:left="720"/>
        <w:rPr>
          <w:rFonts w:ascii="Times New Roman" w:hAnsi="Times New Roman" w:cs="Times New Roman"/>
        </w:rPr>
      </w:pPr>
      <w:r w:rsidRPr="005F64F1">
        <w:rPr>
          <w:rFonts w:ascii="Times New Roman" w:hAnsi="Times New Roman" w:cs="Times New Roman"/>
          <w:b/>
        </w:rPr>
        <w:t>Submit to IRB</w:t>
      </w:r>
      <w:r w:rsidRPr="002D2461">
        <w:rPr>
          <w:rFonts w:ascii="Times New Roman" w:hAnsi="Times New Roman" w:cs="Times New Roman"/>
        </w:rPr>
        <w:t xml:space="preserve"> using </w:t>
      </w:r>
      <w:proofErr w:type="spellStart"/>
      <w:r w:rsidRPr="002D2461">
        <w:rPr>
          <w:rFonts w:ascii="Times New Roman" w:hAnsi="Times New Roman" w:cs="Times New Roman"/>
        </w:rPr>
        <w:t>eProtocol</w:t>
      </w:r>
      <w:proofErr w:type="spellEnd"/>
      <w:r w:rsidR="005F64F1">
        <w:rPr>
          <w:rFonts w:ascii="Times New Roman" w:hAnsi="Times New Roman" w:cs="Times New Roman"/>
        </w:rPr>
        <w:t xml:space="preserve"> Unanticipated Problem Report Form</w:t>
      </w:r>
      <w:r w:rsidRPr="002D2461">
        <w:rPr>
          <w:rFonts w:ascii="Times New Roman" w:hAnsi="Times New Roman" w:cs="Times New Roman"/>
        </w:rPr>
        <w:t xml:space="preserve"> </w:t>
      </w:r>
    </w:p>
    <w:p w:rsidR="00BB02C9" w:rsidRDefault="00C927DB" w:rsidP="00BB02C9">
      <w:pPr>
        <w:pStyle w:val="ListParagraph"/>
        <w:numPr>
          <w:ilvl w:val="1"/>
          <w:numId w:val="18"/>
        </w:numPr>
        <w:spacing w:line="276" w:lineRule="auto"/>
        <w:ind w:left="1260" w:hanging="270"/>
        <w:rPr>
          <w:rFonts w:ascii="Times New Roman" w:hAnsi="Times New Roman" w:cs="Times New Roman"/>
        </w:rPr>
      </w:pPr>
      <w:r w:rsidRPr="00BB02C9">
        <w:rPr>
          <w:rFonts w:ascii="Times New Roman" w:hAnsi="Times New Roman" w:cs="Times New Roman"/>
          <w:b/>
        </w:rPr>
        <w:t>Timeframe for UP reports depends on Monitoring Entity</w:t>
      </w:r>
      <w:r w:rsidRPr="00BB02C9">
        <w:rPr>
          <w:rFonts w:ascii="Times New Roman" w:hAnsi="Times New Roman" w:cs="Times New Roman"/>
        </w:rPr>
        <w:t xml:space="preserve"> </w:t>
      </w:r>
    </w:p>
    <w:p w:rsidR="00BB02C9" w:rsidRDefault="00BB02C9" w:rsidP="00BB02C9">
      <w:pPr>
        <w:pStyle w:val="ListParagraph"/>
        <w:spacing w:line="276" w:lineRule="auto"/>
        <w:ind w:left="1260" w:firstLine="0"/>
        <w:rPr>
          <w:rFonts w:ascii="Times New Roman" w:hAnsi="Times New Roman" w:cs="Times New Roman"/>
          <w:b/>
        </w:rPr>
      </w:pPr>
      <w:r w:rsidRPr="00BB02C9">
        <w:rPr>
          <w:rFonts w:ascii="Times New Roman" w:hAnsi="Times New Roman" w:cs="Times New Roman"/>
        </w:rPr>
        <w:t xml:space="preserve">Report an unanticipated problem involving risks to participants or others (UP or Internal Events that are unexpected and related to the research) </w:t>
      </w:r>
      <w:r w:rsidRPr="00BB02C9">
        <w:rPr>
          <w:rFonts w:ascii="Times New Roman" w:hAnsi="Times New Roman" w:cs="Times New Roman"/>
          <w:b/>
        </w:rPr>
        <w:t>within 10 working days:</w:t>
      </w:r>
    </w:p>
    <w:p w:rsidR="00BB02C9" w:rsidRDefault="00BB02C9" w:rsidP="00BB02C9">
      <w:pPr>
        <w:pStyle w:val="ListParagraph"/>
        <w:spacing w:line="276" w:lineRule="auto"/>
        <w:ind w:left="1260" w:firstLine="0"/>
        <w:rPr>
          <w:rFonts w:ascii="Times New Roman" w:hAnsi="Times New Roman" w:cs="Times New Roman"/>
        </w:rPr>
      </w:pPr>
    </w:p>
    <w:p w:rsidR="00BB02C9" w:rsidRDefault="00BB02C9" w:rsidP="00BB02C9">
      <w:pPr>
        <w:pStyle w:val="ListParagraph"/>
        <w:numPr>
          <w:ilvl w:val="2"/>
          <w:numId w:val="18"/>
        </w:numPr>
        <w:spacing w:line="240" w:lineRule="auto"/>
        <w:ind w:left="1620"/>
        <w:rPr>
          <w:rFonts w:ascii="Times New Roman" w:hAnsi="Times New Roman" w:cs="Times New Roman"/>
          <w:b/>
        </w:rPr>
      </w:pPr>
      <w:r>
        <w:rPr>
          <w:rFonts w:ascii="Times New Roman" w:hAnsi="Times New Roman" w:cs="Times New Roman"/>
          <w:b/>
        </w:rPr>
        <w:t>If PI</w:t>
      </w:r>
      <w:r w:rsidRPr="00BB02C9">
        <w:rPr>
          <w:rFonts w:ascii="Times New Roman" w:hAnsi="Times New Roman" w:cs="Times New Roman"/>
          <w:b/>
        </w:rPr>
        <w:t xml:space="preserve"> is the only monitoring entity</w:t>
      </w:r>
    </w:p>
    <w:p w:rsidR="00BB02C9" w:rsidRDefault="00BB02C9" w:rsidP="00BB02C9">
      <w:pPr>
        <w:pStyle w:val="ListParagraph"/>
        <w:spacing w:line="276" w:lineRule="auto"/>
        <w:ind w:left="1620" w:firstLine="0"/>
        <w:rPr>
          <w:rFonts w:ascii="Times New Roman" w:hAnsi="Times New Roman" w:cs="Times New Roman"/>
          <w:b/>
        </w:rPr>
      </w:pPr>
      <w:r w:rsidRPr="00BB02C9">
        <w:rPr>
          <w:rFonts w:ascii="Times New Roman" w:hAnsi="Times New Roman" w:cs="Times New Roman"/>
        </w:rPr>
        <w:t xml:space="preserve">Items 1 - 6 should be reported </w:t>
      </w:r>
      <w:r w:rsidRPr="00BB02C9">
        <w:rPr>
          <w:rFonts w:ascii="Times New Roman" w:hAnsi="Times New Roman" w:cs="Times New Roman"/>
          <w:b/>
        </w:rPr>
        <w:t>directly</w:t>
      </w:r>
      <w:r w:rsidRPr="00BB02C9">
        <w:rPr>
          <w:rFonts w:ascii="Times New Roman" w:hAnsi="Times New Roman" w:cs="Times New Roman"/>
        </w:rPr>
        <w:t xml:space="preserve"> to the IRB </w:t>
      </w:r>
      <w:r w:rsidRPr="00BB02C9">
        <w:rPr>
          <w:rFonts w:ascii="Times New Roman" w:hAnsi="Times New Roman" w:cs="Times New Roman"/>
          <w:b/>
        </w:rPr>
        <w:t>within 10 working days</w:t>
      </w:r>
      <w:r>
        <w:rPr>
          <w:rFonts w:ascii="Times New Roman" w:hAnsi="Times New Roman" w:cs="Times New Roman"/>
        </w:rPr>
        <w:t xml:space="preserve"> from when the PI</w:t>
      </w:r>
      <w:r w:rsidRPr="00BB02C9">
        <w:rPr>
          <w:rFonts w:ascii="Times New Roman" w:hAnsi="Times New Roman" w:cs="Times New Roman"/>
        </w:rPr>
        <w:t xml:space="preserve"> learns of the event or new information.</w:t>
      </w:r>
    </w:p>
    <w:p w:rsidR="00BB02C9" w:rsidRPr="00BB02C9" w:rsidRDefault="00BB02C9" w:rsidP="00BB02C9">
      <w:pPr>
        <w:pStyle w:val="ListParagraph"/>
        <w:numPr>
          <w:ilvl w:val="2"/>
          <w:numId w:val="18"/>
        </w:numPr>
        <w:spacing w:line="276" w:lineRule="auto"/>
        <w:ind w:left="1620"/>
        <w:rPr>
          <w:rFonts w:ascii="Times New Roman" w:hAnsi="Times New Roman" w:cs="Times New Roman"/>
          <w:b/>
        </w:rPr>
      </w:pPr>
      <w:r w:rsidRPr="00BB02C9">
        <w:rPr>
          <w:rFonts w:ascii="Times New Roman" w:hAnsi="Times New Roman" w:cs="Times New Roman"/>
          <w:b/>
        </w:rPr>
        <w:t>If there is a monitoring entity in ad</w:t>
      </w:r>
      <w:r>
        <w:rPr>
          <w:rFonts w:ascii="Times New Roman" w:hAnsi="Times New Roman" w:cs="Times New Roman"/>
          <w:b/>
        </w:rPr>
        <w:t>dition to, or other than, the PI</w:t>
      </w:r>
      <w:r w:rsidRPr="00BB02C9">
        <w:rPr>
          <w:rFonts w:ascii="Times New Roman" w:hAnsi="Times New Roman" w:cs="Times New Roman"/>
        </w:rPr>
        <w:t xml:space="preserve"> </w:t>
      </w:r>
    </w:p>
    <w:p w:rsidR="00BB02C9" w:rsidRPr="00BB02C9" w:rsidRDefault="000A70C3" w:rsidP="00BB02C9">
      <w:pPr>
        <w:pStyle w:val="ListParagraph"/>
        <w:spacing w:line="276" w:lineRule="auto"/>
        <w:ind w:left="1620" w:firstLine="0"/>
        <w:rPr>
          <w:rFonts w:ascii="Times New Roman" w:hAnsi="Times New Roman" w:cs="Times New Roman"/>
          <w:b/>
        </w:rPr>
      </w:pPr>
      <w:r>
        <w:rPr>
          <w:rFonts w:ascii="Times New Roman" w:hAnsi="Times New Roman" w:cs="Times New Roman"/>
        </w:rPr>
        <w:t>Site-</w:t>
      </w:r>
      <w:r w:rsidR="00531B0A">
        <w:rPr>
          <w:rFonts w:ascii="Times New Roman" w:hAnsi="Times New Roman" w:cs="Times New Roman"/>
        </w:rPr>
        <w:t>PIs need to r</w:t>
      </w:r>
      <w:r w:rsidR="00BB02C9" w:rsidRPr="00BB02C9">
        <w:rPr>
          <w:rFonts w:ascii="Times New Roman" w:hAnsi="Times New Roman" w:cs="Times New Roman"/>
        </w:rPr>
        <w:t xml:space="preserve">eport to the IRB using this form </w:t>
      </w:r>
      <w:r w:rsidR="00BB02C9" w:rsidRPr="00BB02C9">
        <w:rPr>
          <w:rFonts w:ascii="Times New Roman" w:hAnsi="Times New Roman" w:cs="Times New Roman"/>
          <w:b/>
        </w:rPr>
        <w:t>within 10 working days</w:t>
      </w:r>
      <w:r w:rsidR="00BB02C9" w:rsidRPr="00BB02C9">
        <w:rPr>
          <w:rFonts w:ascii="Times New Roman" w:hAnsi="Times New Roman" w:cs="Times New Roman"/>
        </w:rPr>
        <w:t xml:space="preserve"> from receiving assessment from monitoring entity. Only when an event has been assessed by the monitoring</w:t>
      </w:r>
      <w:r w:rsidR="00BB02C9">
        <w:rPr>
          <w:rFonts w:ascii="Times New Roman" w:hAnsi="Times New Roman" w:cs="Times New Roman"/>
        </w:rPr>
        <w:t xml:space="preserve"> entity to be a UP should the PI</w:t>
      </w:r>
      <w:r w:rsidR="00BB02C9" w:rsidRPr="00BB02C9">
        <w:rPr>
          <w:rFonts w:ascii="Times New Roman" w:hAnsi="Times New Roman" w:cs="Times New Roman"/>
        </w:rPr>
        <w:t xml:space="preserve"> report it to the IRB.</w:t>
      </w:r>
      <w:r w:rsidR="00531B0A">
        <w:rPr>
          <w:rFonts w:ascii="Times New Roman" w:hAnsi="Times New Roman" w:cs="Times New Roman"/>
        </w:rPr>
        <w:t xml:space="preserve">  Urgent data and safety monitoring reports from the sponsor are to be submitted to the IRB within 30 days from the </w:t>
      </w:r>
      <w:r>
        <w:rPr>
          <w:rFonts w:ascii="Times New Roman" w:hAnsi="Times New Roman" w:cs="Times New Roman"/>
        </w:rPr>
        <w:t>date of the monitoring report(s).</w:t>
      </w:r>
    </w:p>
    <w:p w:rsidR="00BB02C9" w:rsidRDefault="00BB02C9" w:rsidP="00BB02C9">
      <w:pPr>
        <w:pStyle w:val="ListParagraph"/>
        <w:spacing w:line="276" w:lineRule="auto"/>
        <w:ind w:left="1260" w:firstLine="0"/>
        <w:rPr>
          <w:rFonts w:ascii="Times New Roman" w:hAnsi="Times New Roman" w:cs="Times New Roman"/>
        </w:rPr>
      </w:pPr>
    </w:p>
    <w:p w:rsidR="00BB02C9" w:rsidRDefault="00C927DB" w:rsidP="00BB02C9">
      <w:pPr>
        <w:pStyle w:val="ListParagraph"/>
        <w:numPr>
          <w:ilvl w:val="0"/>
          <w:numId w:val="18"/>
        </w:numPr>
        <w:spacing w:line="276" w:lineRule="auto"/>
        <w:ind w:left="720"/>
        <w:rPr>
          <w:rFonts w:ascii="Times New Roman" w:hAnsi="Times New Roman" w:cs="Times New Roman"/>
        </w:rPr>
      </w:pPr>
      <w:r w:rsidRPr="00BB02C9">
        <w:rPr>
          <w:rFonts w:ascii="Times New Roman" w:hAnsi="Times New Roman" w:cs="Times New Roman"/>
          <w:b/>
        </w:rPr>
        <w:t>Timeframe for Reportable Information (items 2 - 6)</w:t>
      </w:r>
      <w:r w:rsidRPr="00BB02C9">
        <w:rPr>
          <w:rFonts w:ascii="Times New Roman" w:hAnsi="Times New Roman" w:cs="Times New Roman"/>
        </w:rPr>
        <w:t xml:space="preserve"> </w:t>
      </w:r>
    </w:p>
    <w:p w:rsidR="00456C48" w:rsidRDefault="00C927DB" w:rsidP="00BB02C9">
      <w:pPr>
        <w:pStyle w:val="ListParagraph"/>
        <w:spacing w:line="276" w:lineRule="auto"/>
        <w:ind w:firstLine="0"/>
        <w:rPr>
          <w:rFonts w:ascii="Times New Roman" w:hAnsi="Times New Roman" w:cs="Times New Roman"/>
        </w:rPr>
      </w:pPr>
      <w:r w:rsidRPr="00BB02C9">
        <w:rPr>
          <w:rFonts w:ascii="Times New Roman" w:hAnsi="Times New Roman" w:cs="Times New Roman"/>
        </w:rPr>
        <w:t>These sho</w:t>
      </w:r>
      <w:r w:rsidR="00BB02C9">
        <w:rPr>
          <w:rFonts w:ascii="Times New Roman" w:hAnsi="Times New Roman" w:cs="Times New Roman"/>
        </w:rPr>
        <w:t>uld always be reported by the PI</w:t>
      </w:r>
      <w:r w:rsidRPr="00BB02C9">
        <w:rPr>
          <w:rFonts w:ascii="Times New Roman" w:hAnsi="Times New Roman" w:cs="Times New Roman"/>
        </w:rPr>
        <w:t xml:space="preserve"> directly to the IRB within </w:t>
      </w:r>
      <w:r w:rsidR="00BB02C9">
        <w:rPr>
          <w:rFonts w:ascii="Times New Roman" w:hAnsi="Times New Roman" w:cs="Times New Roman"/>
        </w:rPr>
        <w:t>10 working days from when the PI</w:t>
      </w:r>
      <w:r w:rsidRPr="00BB02C9">
        <w:rPr>
          <w:rFonts w:ascii="Times New Roman" w:hAnsi="Times New Roman" w:cs="Times New Roman"/>
        </w:rPr>
        <w:t xml:space="preserve"> learns of the event or new information.</w:t>
      </w:r>
    </w:p>
    <w:p w:rsidR="00456C48" w:rsidRDefault="00456C48" w:rsidP="00BB02C9">
      <w:pPr>
        <w:pStyle w:val="ListParagraph"/>
        <w:spacing w:line="276" w:lineRule="auto"/>
        <w:ind w:firstLine="0"/>
        <w:rPr>
          <w:rFonts w:ascii="Times New Roman" w:hAnsi="Times New Roman" w:cs="Times New Roman"/>
        </w:rPr>
      </w:pPr>
    </w:p>
    <w:p w:rsidR="00456C48" w:rsidRDefault="00C927DB" w:rsidP="00BB02C9">
      <w:pPr>
        <w:pStyle w:val="ListParagraph"/>
        <w:spacing w:line="276" w:lineRule="auto"/>
        <w:ind w:firstLine="0"/>
        <w:rPr>
          <w:rFonts w:ascii="Times New Roman" w:hAnsi="Times New Roman" w:cs="Times New Roman"/>
        </w:rPr>
      </w:pPr>
      <w:r w:rsidRPr="00456C48">
        <w:rPr>
          <w:rFonts w:ascii="Times New Roman" w:hAnsi="Times New Roman" w:cs="Times New Roman"/>
          <w:b/>
        </w:rPr>
        <w:lastRenderedPageBreak/>
        <w:t>Resources:</w:t>
      </w:r>
      <w:r w:rsidRPr="00456C48">
        <w:rPr>
          <w:rFonts w:ascii="Times New Roman" w:hAnsi="Times New Roman" w:cs="Times New Roman"/>
        </w:rPr>
        <w:t xml:space="preserve"> </w:t>
      </w:r>
      <w:r w:rsidRPr="00456C48">
        <w:rPr>
          <w:rFonts w:ascii="Times New Roman" w:hAnsi="Times New Roman" w:cs="Times New Roman"/>
          <w:b/>
        </w:rPr>
        <w:t>Regulations and Guidance</w:t>
      </w:r>
      <w:r w:rsidRPr="00456C48">
        <w:rPr>
          <w:rFonts w:ascii="Times New Roman" w:hAnsi="Times New Roman" w:cs="Times New Roman"/>
        </w:rPr>
        <w:t xml:space="preserve"> </w:t>
      </w:r>
    </w:p>
    <w:p w:rsidR="00456C48" w:rsidRDefault="00C927DB" w:rsidP="00BB02C9">
      <w:pPr>
        <w:pStyle w:val="ListParagraph"/>
        <w:spacing w:line="276" w:lineRule="auto"/>
        <w:ind w:firstLine="0"/>
        <w:rPr>
          <w:rFonts w:ascii="Times New Roman" w:hAnsi="Times New Roman" w:cs="Times New Roman"/>
        </w:rPr>
      </w:pPr>
      <w:r w:rsidRPr="00456C48">
        <w:rPr>
          <w:rFonts w:ascii="Times New Roman" w:hAnsi="Times New Roman" w:cs="Times New Roman"/>
        </w:rPr>
        <w:t>OHRP</w:t>
      </w:r>
    </w:p>
    <w:p w:rsidR="00456C48" w:rsidRDefault="00C927DB" w:rsidP="00BB02C9">
      <w:pPr>
        <w:pStyle w:val="ListParagraph"/>
        <w:spacing w:line="276" w:lineRule="auto"/>
        <w:ind w:firstLine="0"/>
        <w:rPr>
          <w:rFonts w:ascii="Times New Roman" w:hAnsi="Times New Roman" w:cs="Times New Roman"/>
        </w:rPr>
      </w:pPr>
      <w:r w:rsidRPr="00456C48">
        <w:rPr>
          <w:rFonts w:ascii="Times New Roman" w:hAnsi="Times New Roman" w:cs="Times New Roman"/>
        </w:rPr>
        <w:t>• 45 CFR 46.103 (b</w:t>
      </w:r>
      <w:proofErr w:type="gramStart"/>
      <w:r w:rsidRPr="00456C48">
        <w:rPr>
          <w:rFonts w:ascii="Times New Roman" w:hAnsi="Times New Roman" w:cs="Times New Roman"/>
        </w:rPr>
        <w:t>)(</w:t>
      </w:r>
      <w:proofErr w:type="gramEnd"/>
      <w:r w:rsidRPr="00456C48">
        <w:rPr>
          <w:rFonts w:ascii="Times New Roman" w:hAnsi="Times New Roman" w:cs="Times New Roman"/>
        </w:rPr>
        <w:t xml:space="preserve">5) </w:t>
      </w:r>
    </w:p>
    <w:p w:rsidR="00456C48" w:rsidRDefault="00C927DB" w:rsidP="00456C48">
      <w:pPr>
        <w:pStyle w:val="ListParagraph"/>
        <w:spacing w:line="276" w:lineRule="auto"/>
        <w:ind w:left="900" w:hanging="180"/>
        <w:rPr>
          <w:rFonts w:ascii="Times New Roman" w:hAnsi="Times New Roman" w:cs="Times New Roman"/>
        </w:rPr>
      </w:pPr>
      <w:r w:rsidRPr="00456C48">
        <w:rPr>
          <w:rFonts w:ascii="Times New Roman" w:hAnsi="Times New Roman" w:cs="Times New Roman"/>
        </w:rPr>
        <w:t xml:space="preserve">• Reviewing and Reporting UPs Involving Risks to Subjects or Others and Adverse Events - Guidance </w:t>
      </w:r>
    </w:p>
    <w:p w:rsidR="00456C48" w:rsidRDefault="00456C48" w:rsidP="00BB02C9">
      <w:pPr>
        <w:pStyle w:val="ListParagraph"/>
        <w:spacing w:line="276" w:lineRule="auto"/>
        <w:ind w:firstLine="0"/>
        <w:rPr>
          <w:rFonts w:ascii="Times New Roman" w:hAnsi="Times New Roman" w:cs="Times New Roman"/>
        </w:rPr>
      </w:pPr>
    </w:p>
    <w:p w:rsidR="00456C48" w:rsidRDefault="00C927DB" w:rsidP="00BB02C9">
      <w:pPr>
        <w:pStyle w:val="ListParagraph"/>
        <w:spacing w:line="276" w:lineRule="auto"/>
        <w:ind w:firstLine="0"/>
        <w:rPr>
          <w:rFonts w:ascii="Times New Roman" w:hAnsi="Times New Roman" w:cs="Times New Roman"/>
        </w:rPr>
      </w:pPr>
      <w:r w:rsidRPr="00456C48">
        <w:rPr>
          <w:rFonts w:ascii="Times New Roman" w:hAnsi="Times New Roman" w:cs="Times New Roman"/>
        </w:rPr>
        <w:t xml:space="preserve">FDA </w:t>
      </w:r>
    </w:p>
    <w:p w:rsidR="00456C48" w:rsidRDefault="00C927DB" w:rsidP="00BB02C9">
      <w:pPr>
        <w:pStyle w:val="ListParagraph"/>
        <w:spacing w:line="276" w:lineRule="auto"/>
        <w:ind w:firstLine="0"/>
        <w:rPr>
          <w:rFonts w:ascii="Times New Roman" w:hAnsi="Times New Roman" w:cs="Times New Roman"/>
        </w:rPr>
      </w:pPr>
      <w:r w:rsidRPr="00456C48">
        <w:rPr>
          <w:rFonts w:ascii="Times New Roman" w:hAnsi="Times New Roman" w:cs="Times New Roman"/>
        </w:rPr>
        <w:t xml:space="preserve">• 21CFR 812.150 Investigational Device – reports </w:t>
      </w:r>
    </w:p>
    <w:p w:rsidR="00456C48" w:rsidRDefault="00C927DB" w:rsidP="00BB02C9">
      <w:pPr>
        <w:pStyle w:val="ListParagraph"/>
        <w:spacing w:line="276" w:lineRule="auto"/>
        <w:ind w:firstLine="0"/>
        <w:rPr>
          <w:rFonts w:ascii="Times New Roman" w:hAnsi="Times New Roman" w:cs="Times New Roman"/>
        </w:rPr>
      </w:pPr>
      <w:r w:rsidRPr="00456C48">
        <w:rPr>
          <w:rFonts w:ascii="Times New Roman" w:hAnsi="Times New Roman" w:cs="Times New Roman"/>
        </w:rPr>
        <w:t xml:space="preserve">• 21 CFR 312.32(a) Investigational New Drug – safety reports </w:t>
      </w:r>
    </w:p>
    <w:p w:rsidR="00456C48" w:rsidRDefault="00C927DB" w:rsidP="00BB02C9">
      <w:pPr>
        <w:pStyle w:val="ListParagraph"/>
        <w:spacing w:line="276" w:lineRule="auto"/>
        <w:ind w:firstLine="0"/>
        <w:rPr>
          <w:rFonts w:ascii="Times New Roman" w:hAnsi="Times New Roman" w:cs="Times New Roman"/>
        </w:rPr>
      </w:pPr>
      <w:r w:rsidRPr="00456C48">
        <w:rPr>
          <w:rFonts w:ascii="Times New Roman" w:hAnsi="Times New Roman" w:cs="Times New Roman"/>
        </w:rPr>
        <w:t xml:space="preserve">• Adverse Event Reporting to IRBs - Improving Human Subject Protection - Guidance </w:t>
      </w:r>
    </w:p>
    <w:sectPr w:rsidR="00456C48" w:rsidSect="00740DF8">
      <w:footerReference w:type="even" r:id="rId8"/>
      <w:footerReference w:type="default" r:id="rId9"/>
      <w:footerReference w:type="first" r:id="rId10"/>
      <w:pgSz w:w="12240" w:h="15840"/>
      <w:pgMar w:top="1008" w:right="1008" w:bottom="1008" w:left="1008"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7C" w:rsidRDefault="00C7527C">
      <w:pPr>
        <w:spacing w:after="0" w:line="240" w:lineRule="auto"/>
      </w:pPr>
      <w:r>
        <w:separator/>
      </w:r>
    </w:p>
  </w:endnote>
  <w:endnote w:type="continuationSeparator" w:id="0">
    <w:p w:rsidR="00C7527C" w:rsidRDefault="00C7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69" w:rsidRDefault="00972569">
    <w:pPr>
      <w:spacing w:after="255" w:line="259" w:lineRule="auto"/>
      <w:ind w:left="0" w:firstLine="0"/>
    </w:pPr>
    <w:r>
      <w:rPr>
        <w:sz w:val="20"/>
      </w:rPr>
      <w:t>Clinical Research Protocol Guidelines (v.3/4-24-12)</w:t>
    </w:r>
    <w:r>
      <w:rPr>
        <w:sz w:val="22"/>
      </w:rPr>
      <w:t xml:space="preserve"> </w:t>
    </w:r>
  </w:p>
  <w:p w:rsidR="00972569" w:rsidRDefault="00972569">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69" w:rsidRDefault="003B72B1"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8"/>
        <w:szCs w:val="18"/>
      </w:rPr>
      <w:t>GUIDE 61</w:t>
    </w:r>
    <w:r w:rsidR="00972569">
      <w:rPr>
        <w:rFonts w:ascii="Cambria" w:hAnsi="Cambria"/>
        <w:sz w:val="18"/>
        <w:szCs w:val="18"/>
      </w:rPr>
      <w:t xml:space="preserve">4 </w:t>
    </w:r>
    <w:r w:rsidR="00902710">
      <w:rPr>
        <w:rFonts w:ascii="Cambria" w:hAnsi="Cambria"/>
        <w:sz w:val="18"/>
        <w:szCs w:val="18"/>
      </w:rPr>
      <w:t>Events and Information that Require Prompt Reporting to the IRB</w:t>
    </w:r>
    <w:r w:rsidR="00972569">
      <w:rPr>
        <w:rFonts w:ascii="Cambria" w:hAnsi="Cambria"/>
        <w:sz w:val="18"/>
        <w:szCs w:val="18"/>
      </w:rPr>
      <w:t xml:space="preserve">                            </w:t>
    </w:r>
    <w:r w:rsidR="00972569">
      <w:rPr>
        <w:rFonts w:ascii="Cambria" w:hAnsi="Cambria"/>
        <w:sz w:val="16"/>
        <w:szCs w:val="16"/>
      </w:rPr>
      <w:t>University of Hawai'i</w:t>
    </w:r>
    <w:r w:rsidR="00972569" w:rsidRPr="00F66DC8">
      <w:rPr>
        <w:rFonts w:ascii="Cambria" w:hAnsi="Cambria"/>
        <w:sz w:val="16"/>
        <w:szCs w:val="16"/>
      </w:rPr>
      <w:t xml:space="preserve"> Human Studies Program</w:t>
    </w:r>
    <w:r w:rsidR="00972569">
      <w:rPr>
        <w:rFonts w:ascii="Cambria" w:hAnsi="Cambria"/>
        <w:sz w:val="16"/>
        <w:szCs w:val="16"/>
      </w:rPr>
      <w:t xml:space="preserve"> </w:t>
    </w:r>
  </w:p>
  <w:p w:rsidR="00972569" w:rsidRPr="00D12C92" w:rsidRDefault="006809AE" w:rsidP="00740DF8">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20"/>
        <w:szCs w:val="20"/>
      </w:rPr>
      <w:t>AAHPP Elements I.1.D.; Element I.5.D.</w:t>
    </w:r>
    <w:r w:rsidR="00972569">
      <w:rPr>
        <w:rFonts w:ascii="Cambria" w:hAnsi="Cambria"/>
        <w:sz w:val="16"/>
        <w:szCs w:val="16"/>
      </w:rPr>
      <w:tab/>
    </w:r>
    <w:r w:rsidR="00972569">
      <w:rPr>
        <w:rFonts w:ascii="Cambria" w:hAnsi="Cambria"/>
        <w:sz w:val="16"/>
        <w:szCs w:val="16"/>
      </w:rPr>
      <w:tab/>
      <w:t xml:space="preserve">                                                                                                  </w:t>
    </w:r>
    <w:r w:rsidR="00972569" w:rsidRPr="00CC7BA5">
      <w:rPr>
        <w:rFonts w:ascii="Cambria" w:hAnsi="Cambria" w:cs="Arial"/>
        <w:sz w:val="16"/>
        <w:szCs w:val="16"/>
      </w:rPr>
      <w:t xml:space="preserve">(808) 956-5007, </w:t>
    </w:r>
    <w:hyperlink r:id="rId1" w:history="1">
      <w:r w:rsidR="00972569" w:rsidRPr="00CC7BA5">
        <w:rPr>
          <w:rStyle w:val="Hyperlink"/>
          <w:rFonts w:ascii="Cambria" w:hAnsi="Cambria" w:cs="Arial"/>
          <w:color w:val="auto"/>
          <w:sz w:val="16"/>
          <w:szCs w:val="16"/>
          <w:u w:val="none"/>
        </w:rPr>
        <w:t>uhirb@hawaii.edu</w:t>
      </w:r>
    </w:hyperlink>
  </w:p>
  <w:p w:rsidR="00972569" w:rsidRPr="001E1E72" w:rsidRDefault="00456C48" w:rsidP="00456C48">
    <w:pPr>
      <w:pStyle w:val="Footer"/>
      <w:pBdr>
        <w:top w:val="thinThickSmallGap" w:sz="24" w:space="1" w:color="622423"/>
      </w:pBdr>
      <w:tabs>
        <w:tab w:val="center" w:pos="5112"/>
        <w:tab w:val="right" w:pos="9360"/>
      </w:tabs>
      <w:spacing w:before="2" w:after="2"/>
      <w:rPr>
        <w:rFonts w:ascii="Cambria" w:hAnsi="Cambria"/>
        <w:sz w:val="20"/>
        <w:szCs w:val="20"/>
      </w:rPr>
    </w:pPr>
    <w:r>
      <w:rPr>
        <w:rFonts w:ascii="Cambria" w:hAnsi="Cambria"/>
        <w:sz w:val="20"/>
        <w:szCs w:val="20"/>
      </w:rPr>
      <w:tab/>
    </w:r>
    <w:r>
      <w:rPr>
        <w:rFonts w:ascii="Cambria" w:hAnsi="Cambria"/>
        <w:sz w:val="20"/>
        <w:szCs w:val="20"/>
      </w:rPr>
      <w:tab/>
    </w:r>
    <w:r w:rsidR="00972569" w:rsidRPr="001E1E72">
      <w:rPr>
        <w:rFonts w:ascii="Cambria" w:hAnsi="Cambria"/>
        <w:sz w:val="20"/>
        <w:szCs w:val="20"/>
      </w:rPr>
      <w:t xml:space="preserve">Page </w:t>
    </w:r>
    <w:r w:rsidR="00972569" w:rsidRPr="001E1E72">
      <w:rPr>
        <w:rFonts w:ascii="Cambria" w:hAnsi="Cambria"/>
        <w:sz w:val="20"/>
        <w:szCs w:val="20"/>
      </w:rPr>
      <w:fldChar w:fldCharType="begin"/>
    </w:r>
    <w:r w:rsidR="00972569" w:rsidRPr="001E1E72">
      <w:rPr>
        <w:rFonts w:ascii="Cambria" w:hAnsi="Cambria"/>
        <w:sz w:val="20"/>
        <w:szCs w:val="20"/>
      </w:rPr>
      <w:instrText xml:space="preserve"> PAGE   \* MERGEFORMAT </w:instrText>
    </w:r>
    <w:r w:rsidR="00972569" w:rsidRPr="001E1E72">
      <w:rPr>
        <w:rFonts w:ascii="Cambria" w:hAnsi="Cambria"/>
        <w:sz w:val="20"/>
        <w:szCs w:val="20"/>
      </w:rPr>
      <w:fldChar w:fldCharType="separate"/>
    </w:r>
    <w:r w:rsidR="00CD2EDD">
      <w:rPr>
        <w:rFonts w:ascii="Cambria" w:hAnsi="Cambria"/>
        <w:noProof/>
        <w:sz w:val="20"/>
        <w:szCs w:val="20"/>
      </w:rPr>
      <w:t>4</w:t>
    </w:r>
    <w:r w:rsidR="00972569" w:rsidRPr="001E1E72">
      <w:rPr>
        <w:rFonts w:ascii="Cambria" w:hAnsi="Cambr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69" w:rsidRDefault="00972569">
    <w:pPr>
      <w:spacing w:after="255" w:line="259" w:lineRule="auto"/>
      <w:ind w:left="0" w:firstLine="0"/>
    </w:pPr>
    <w:r>
      <w:rPr>
        <w:sz w:val="20"/>
      </w:rPr>
      <w:t>Clinical Research Protocol Guidelines (v.3/4-24-12)</w:t>
    </w:r>
    <w:r>
      <w:rPr>
        <w:sz w:val="22"/>
      </w:rPr>
      <w:t xml:space="preserve"> </w:t>
    </w:r>
  </w:p>
  <w:p w:rsidR="00972569" w:rsidRDefault="00972569">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7C" w:rsidRDefault="00C7527C">
      <w:pPr>
        <w:spacing w:after="0" w:line="240" w:lineRule="auto"/>
      </w:pPr>
      <w:r>
        <w:separator/>
      </w:r>
    </w:p>
  </w:footnote>
  <w:footnote w:type="continuationSeparator" w:id="0">
    <w:p w:rsidR="00C7527C" w:rsidRDefault="00C75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42EB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1F4D1E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F9240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0D89F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7D8F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1095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582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3A2F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A83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624168"/>
    <w:lvl w:ilvl="0">
      <w:start w:val="1"/>
      <w:numFmt w:val="bullet"/>
      <w:lvlText w:val=""/>
      <w:lvlJc w:val="left"/>
      <w:pPr>
        <w:tabs>
          <w:tab w:val="num" w:pos="360"/>
        </w:tabs>
        <w:ind w:left="360" w:hanging="360"/>
      </w:pPr>
      <w:rPr>
        <w:rFonts w:ascii="Symbol" w:hAnsi="Symbol" w:hint="default"/>
      </w:rPr>
    </w:lvl>
  </w:abstractNum>
  <w:abstractNum w:abstractNumId="10">
    <w:nsid w:val="00B2537C"/>
    <w:multiLevelType w:val="hybridMultilevel"/>
    <w:tmpl w:val="EFD8D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F76FCC"/>
    <w:multiLevelType w:val="hybridMultilevel"/>
    <w:tmpl w:val="A45044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573E4"/>
    <w:multiLevelType w:val="hybridMultilevel"/>
    <w:tmpl w:val="AB9C1518"/>
    <w:lvl w:ilvl="0" w:tplc="9ECA2966">
      <w:start w:val="1"/>
      <w:numFmt w:val="decimal"/>
      <w:lvlText w:val="%1."/>
      <w:lvlJc w:val="left"/>
      <w:pPr>
        <w:ind w:left="705"/>
      </w:pPr>
      <w:rPr>
        <w:rFonts w:ascii="Calibri" w:eastAsia="Times New Roman" w:hAnsi="Calibri" w:cs="Calibri"/>
        <w:b w:val="0"/>
        <w:i w:val="0"/>
        <w:strike w:val="0"/>
        <w:dstrike w:val="0"/>
        <w:color w:val="000000"/>
        <w:sz w:val="24"/>
        <w:szCs w:val="24"/>
        <w:u w:val="none" w:color="000000"/>
        <w:vertAlign w:val="baseline"/>
      </w:rPr>
    </w:lvl>
    <w:lvl w:ilvl="1" w:tplc="7272DC36">
      <w:start w:val="1"/>
      <w:numFmt w:val="lowerLetter"/>
      <w:lvlText w:val="%2"/>
      <w:lvlJc w:val="left"/>
      <w:pPr>
        <w:ind w:left="1440"/>
      </w:pPr>
      <w:rPr>
        <w:rFonts w:ascii="Calibri" w:eastAsia="Times New Roman" w:hAnsi="Calibri" w:cs="Calibri"/>
        <w:b w:val="0"/>
        <w:i w:val="0"/>
        <w:strike w:val="0"/>
        <w:dstrike w:val="0"/>
        <w:color w:val="000000"/>
        <w:sz w:val="24"/>
        <w:szCs w:val="24"/>
        <w:u w:val="none" w:color="000000"/>
        <w:vertAlign w:val="baseline"/>
      </w:rPr>
    </w:lvl>
    <w:lvl w:ilvl="2" w:tplc="AE78AB54">
      <w:start w:val="1"/>
      <w:numFmt w:val="lowerRoman"/>
      <w:lvlText w:val="%3"/>
      <w:lvlJc w:val="left"/>
      <w:pPr>
        <w:ind w:left="2160"/>
      </w:pPr>
      <w:rPr>
        <w:rFonts w:ascii="Calibri" w:eastAsia="Times New Roman" w:hAnsi="Calibri" w:cs="Calibri"/>
        <w:b w:val="0"/>
        <w:i w:val="0"/>
        <w:strike w:val="0"/>
        <w:dstrike w:val="0"/>
        <w:color w:val="000000"/>
        <w:sz w:val="24"/>
        <w:szCs w:val="24"/>
        <w:u w:val="none" w:color="000000"/>
        <w:vertAlign w:val="baseline"/>
      </w:rPr>
    </w:lvl>
    <w:lvl w:ilvl="3" w:tplc="4716A288">
      <w:start w:val="1"/>
      <w:numFmt w:val="decimal"/>
      <w:lvlText w:val="%4"/>
      <w:lvlJc w:val="left"/>
      <w:pPr>
        <w:ind w:left="2880"/>
      </w:pPr>
      <w:rPr>
        <w:rFonts w:ascii="Calibri" w:eastAsia="Times New Roman" w:hAnsi="Calibri" w:cs="Calibri"/>
        <w:b w:val="0"/>
        <w:i w:val="0"/>
        <w:strike w:val="0"/>
        <w:dstrike w:val="0"/>
        <w:color w:val="000000"/>
        <w:sz w:val="24"/>
        <w:szCs w:val="24"/>
        <w:u w:val="none" w:color="000000"/>
        <w:vertAlign w:val="baseline"/>
      </w:rPr>
    </w:lvl>
    <w:lvl w:ilvl="4" w:tplc="B3B0E142">
      <w:start w:val="1"/>
      <w:numFmt w:val="lowerLetter"/>
      <w:lvlText w:val="%5"/>
      <w:lvlJc w:val="left"/>
      <w:pPr>
        <w:ind w:left="3600"/>
      </w:pPr>
      <w:rPr>
        <w:rFonts w:ascii="Calibri" w:eastAsia="Times New Roman" w:hAnsi="Calibri" w:cs="Calibri"/>
        <w:b w:val="0"/>
        <w:i w:val="0"/>
        <w:strike w:val="0"/>
        <w:dstrike w:val="0"/>
        <w:color w:val="000000"/>
        <w:sz w:val="24"/>
        <w:szCs w:val="24"/>
        <w:u w:val="none" w:color="000000"/>
        <w:vertAlign w:val="baseline"/>
      </w:rPr>
    </w:lvl>
    <w:lvl w:ilvl="5" w:tplc="27647D44">
      <w:start w:val="1"/>
      <w:numFmt w:val="lowerRoman"/>
      <w:lvlText w:val="%6"/>
      <w:lvlJc w:val="left"/>
      <w:pPr>
        <w:ind w:left="4320"/>
      </w:pPr>
      <w:rPr>
        <w:rFonts w:ascii="Calibri" w:eastAsia="Times New Roman" w:hAnsi="Calibri" w:cs="Calibri"/>
        <w:b w:val="0"/>
        <w:i w:val="0"/>
        <w:strike w:val="0"/>
        <w:dstrike w:val="0"/>
        <w:color w:val="000000"/>
        <w:sz w:val="24"/>
        <w:szCs w:val="24"/>
        <w:u w:val="none" w:color="000000"/>
        <w:vertAlign w:val="baseline"/>
      </w:rPr>
    </w:lvl>
    <w:lvl w:ilvl="6" w:tplc="32CC151E">
      <w:start w:val="1"/>
      <w:numFmt w:val="decimal"/>
      <w:lvlText w:val="%7"/>
      <w:lvlJc w:val="left"/>
      <w:pPr>
        <w:ind w:left="5040"/>
      </w:pPr>
      <w:rPr>
        <w:rFonts w:ascii="Calibri" w:eastAsia="Times New Roman" w:hAnsi="Calibri" w:cs="Calibri"/>
        <w:b w:val="0"/>
        <w:i w:val="0"/>
        <w:strike w:val="0"/>
        <w:dstrike w:val="0"/>
        <w:color w:val="000000"/>
        <w:sz w:val="24"/>
        <w:szCs w:val="24"/>
        <w:u w:val="none" w:color="000000"/>
        <w:vertAlign w:val="baseline"/>
      </w:rPr>
    </w:lvl>
    <w:lvl w:ilvl="7" w:tplc="986E19BC">
      <w:start w:val="1"/>
      <w:numFmt w:val="lowerLetter"/>
      <w:lvlText w:val="%8"/>
      <w:lvlJc w:val="left"/>
      <w:pPr>
        <w:ind w:left="5760"/>
      </w:pPr>
      <w:rPr>
        <w:rFonts w:ascii="Calibri" w:eastAsia="Times New Roman" w:hAnsi="Calibri" w:cs="Calibri"/>
        <w:b w:val="0"/>
        <w:i w:val="0"/>
        <w:strike w:val="0"/>
        <w:dstrike w:val="0"/>
        <w:color w:val="000000"/>
        <w:sz w:val="24"/>
        <w:szCs w:val="24"/>
        <w:u w:val="none" w:color="000000"/>
        <w:vertAlign w:val="baseline"/>
      </w:rPr>
    </w:lvl>
    <w:lvl w:ilvl="8" w:tplc="8CAAE116">
      <w:start w:val="1"/>
      <w:numFmt w:val="lowerRoman"/>
      <w:lvlText w:val="%9"/>
      <w:lvlJc w:val="left"/>
      <w:pPr>
        <w:ind w:left="6480"/>
      </w:pPr>
      <w:rPr>
        <w:rFonts w:ascii="Calibri" w:eastAsia="Times New Roman" w:hAnsi="Calibri" w:cs="Calibri"/>
        <w:b w:val="0"/>
        <w:i w:val="0"/>
        <w:strike w:val="0"/>
        <w:dstrike w:val="0"/>
        <w:color w:val="000000"/>
        <w:sz w:val="24"/>
        <w:szCs w:val="24"/>
        <w:u w:val="none" w:color="000000"/>
        <w:vertAlign w:val="baseline"/>
      </w:rPr>
    </w:lvl>
  </w:abstractNum>
  <w:abstractNum w:abstractNumId="13">
    <w:nsid w:val="12DC30CE"/>
    <w:multiLevelType w:val="hybridMultilevel"/>
    <w:tmpl w:val="25F47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4D4F3E"/>
    <w:multiLevelType w:val="hybridMultilevel"/>
    <w:tmpl w:val="7B2E1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00C46"/>
    <w:multiLevelType w:val="hybridMultilevel"/>
    <w:tmpl w:val="7A14C4B0"/>
    <w:lvl w:ilvl="0" w:tplc="FBC6A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F211B6"/>
    <w:multiLevelType w:val="hybridMultilevel"/>
    <w:tmpl w:val="C47C5CBC"/>
    <w:lvl w:ilvl="0" w:tplc="600657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BA2629"/>
    <w:multiLevelType w:val="hybridMultilevel"/>
    <w:tmpl w:val="47969F78"/>
    <w:lvl w:ilvl="0" w:tplc="0409000F">
      <w:start w:val="1"/>
      <w:numFmt w:val="decimal"/>
      <w:lvlText w:val="%1."/>
      <w:lvlJc w:val="left"/>
      <w:pPr>
        <w:tabs>
          <w:tab w:val="num" w:pos="1065"/>
        </w:tabs>
        <w:ind w:left="1065" w:hanging="360"/>
      </w:pPr>
      <w:rPr>
        <w:rFonts w:cs="Times New Roman"/>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8">
    <w:nsid w:val="4C176204"/>
    <w:multiLevelType w:val="hybridMultilevel"/>
    <w:tmpl w:val="E34C7CB0"/>
    <w:lvl w:ilvl="0" w:tplc="CA9E8FD6">
      <w:start w:val="1"/>
      <w:numFmt w:val="bullet"/>
      <w:lvlText w:val="•"/>
      <w:lvlJc w:val="left"/>
      <w:pPr>
        <w:ind w:left="1080"/>
      </w:pPr>
      <w:rPr>
        <w:rFonts w:ascii="Arial" w:eastAsia="Times New Roman" w:hAnsi="Arial"/>
        <w:b w:val="0"/>
        <w:i w:val="0"/>
        <w:strike w:val="0"/>
        <w:dstrike w:val="0"/>
        <w:color w:val="000000"/>
        <w:sz w:val="24"/>
        <w:u w:val="none" w:color="000000"/>
        <w:vertAlign w:val="baseline"/>
      </w:rPr>
    </w:lvl>
    <w:lvl w:ilvl="1" w:tplc="7DA8FD2E">
      <w:start w:val="1"/>
      <w:numFmt w:val="bullet"/>
      <w:lvlText w:val="o"/>
      <w:lvlJc w:val="left"/>
      <w:pPr>
        <w:ind w:left="1800"/>
      </w:pPr>
      <w:rPr>
        <w:rFonts w:ascii="Segoe UI Symbol" w:eastAsia="Times New Roman" w:hAnsi="Segoe UI Symbol"/>
        <w:b w:val="0"/>
        <w:i w:val="0"/>
        <w:strike w:val="0"/>
        <w:dstrike w:val="0"/>
        <w:color w:val="000000"/>
        <w:sz w:val="24"/>
        <w:u w:val="none" w:color="000000"/>
        <w:vertAlign w:val="baseline"/>
      </w:rPr>
    </w:lvl>
    <w:lvl w:ilvl="2" w:tplc="675A5380">
      <w:start w:val="1"/>
      <w:numFmt w:val="bullet"/>
      <w:lvlText w:val="▪"/>
      <w:lvlJc w:val="left"/>
      <w:pPr>
        <w:ind w:left="2520"/>
      </w:pPr>
      <w:rPr>
        <w:rFonts w:ascii="Segoe UI Symbol" w:eastAsia="Times New Roman" w:hAnsi="Segoe UI Symbol"/>
        <w:b w:val="0"/>
        <w:i w:val="0"/>
        <w:strike w:val="0"/>
        <w:dstrike w:val="0"/>
        <w:color w:val="000000"/>
        <w:sz w:val="24"/>
        <w:u w:val="none" w:color="000000"/>
        <w:vertAlign w:val="baseline"/>
      </w:rPr>
    </w:lvl>
    <w:lvl w:ilvl="3" w:tplc="C5087326">
      <w:start w:val="1"/>
      <w:numFmt w:val="bullet"/>
      <w:lvlText w:val="•"/>
      <w:lvlJc w:val="left"/>
      <w:pPr>
        <w:ind w:left="3240"/>
      </w:pPr>
      <w:rPr>
        <w:rFonts w:ascii="Arial" w:eastAsia="Times New Roman" w:hAnsi="Arial"/>
        <w:b w:val="0"/>
        <w:i w:val="0"/>
        <w:strike w:val="0"/>
        <w:dstrike w:val="0"/>
        <w:color w:val="000000"/>
        <w:sz w:val="24"/>
        <w:u w:val="none" w:color="000000"/>
        <w:vertAlign w:val="baseline"/>
      </w:rPr>
    </w:lvl>
    <w:lvl w:ilvl="4" w:tplc="D30CF76E">
      <w:start w:val="1"/>
      <w:numFmt w:val="bullet"/>
      <w:lvlText w:val="o"/>
      <w:lvlJc w:val="left"/>
      <w:pPr>
        <w:ind w:left="3960"/>
      </w:pPr>
      <w:rPr>
        <w:rFonts w:ascii="Segoe UI Symbol" w:eastAsia="Times New Roman" w:hAnsi="Segoe UI Symbol"/>
        <w:b w:val="0"/>
        <w:i w:val="0"/>
        <w:strike w:val="0"/>
        <w:dstrike w:val="0"/>
        <w:color w:val="000000"/>
        <w:sz w:val="24"/>
        <w:u w:val="none" w:color="000000"/>
        <w:vertAlign w:val="baseline"/>
      </w:rPr>
    </w:lvl>
    <w:lvl w:ilvl="5" w:tplc="E264D5C2">
      <w:start w:val="1"/>
      <w:numFmt w:val="bullet"/>
      <w:lvlText w:val="▪"/>
      <w:lvlJc w:val="left"/>
      <w:pPr>
        <w:ind w:left="4680"/>
      </w:pPr>
      <w:rPr>
        <w:rFonts w:ascii="Segoe UI Symbol" w:eastAsia="Times New Roman" w:hAnsi="Segoe UI Symbol"/>
        <w:b w:val="0"/>
        <w:i w:val="0"/>
        <w:strike w:val="0"/>
        <w:dstrike w:val="0"/>
        <w:color w:val="000000"/>
        <w:sz w:val="24"/>
        <w:u w:val="none" w:color="000000"/>
        <w:vertAlign w:val="baseline"/>
      </w:rPr>
    </w:lvl>
    <w:lvl w:ilvl="6" w:tplc="150CD550">
      <w:start w:val="1"/>
      <w:numFmt w:val="bullet"/>
      <w:lvlText w:val="•"/>
      <w:lvlJc w:val="left"/>
      <w:pPr>
        <w:ind w:left="5400"/>
      </w:pPr>
      <w:rPr>
        <w:rFonts w:ascii="Arial" w:eastAsia="Times New Roman" w:hAnsi="Arial"/>
        <w:b w:val="0"/>
        <w:i w:val="0"/>
        <w:strike w:val="0"/>
        <w:dstrike w:val="0"/>
        <w:color w:val="000000"/>
        <w:sz w:val="24"/>
        <w:u w:val="none" w:color="000000"/>
        <w:vertAlign w:val="baseline"/>
      </w:rPr>
    </w:lvl>
    <w:lvl w:ilvl="7" w:tplc="F03A6142">
      <w:start w:val="1"/>
      <w:numFmt w:val="bullet"/>
      <w:lvlText w:val="o"/>
      <w:lvlJc w:val="left"/>
      <w:pPr>
        <w:ind w:left="6120"/>
      </w:pPr>
      <w:rPr>
        <w:rFonts w:ascii="Segoe UI Symbol" w:eastAsia="Times New Roman" w:hAnsi="Segoe UI Symbol"/>
        <w:b w:val="0"/>
        <w:i w:val="0"/>
        <w:strike w:val="0"/>
        <w:dstrike w:val="0"/>
        <w:color w:val="000000"/>
        <w:sz w:val="24"/>
        <w:u w:val="none" w:color="000000"/>
        <w:vertAlign w:val="baseline"/>
      </w:rPr>
    </w:lvl>
    <w:lvl w:ilvl="8" w:tplc="79041034">
      <w:start w:val="1"/>
      <w:numFmt w:val="bullet"/>
      <w:lvlText w:val="▪"/>
      <w:lvlJc w:val="left"/>
      <w:pPr>
        <w:ind w:left="6840"/>
      </w:pPr>
      <w:rPr>
        <w:rFonts w:ascii="Segoe UI Symbol" w:eastAsia="Times New Roman" w:hAnsi="Segoe UI Symbol"/>
        <w:b w:val="0"/>
        <w:i w:val="0"/>
        <w:strike w:val="0"/>
        <w:dstrike w:val="0"/>
        <w:color w:val="000000"/>
        <w:sz w:val="24"/>
        <w:u w:val="none" w:color="000000"/>
        <w:vertAlign w:val="baseline"/>
      </w:rPr>
    </w:lvl>
  </w:abstractNum>
  <w:abstractNum w:abstractNumId="19">
    <w:nsid w:val="529C6340"/>
    <w:multiLevelType w:val="hybridMultilevel"/>
    <w:tmpl w:val="382087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101E83"/>
    <w:multiLevelType w:val="hybridMultilevel"/>
    <w:tmpl w:val="7DB4F72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4530C8"/>
    <w:multiLevelType w:val="hybridMultilevel"/>
    <w:tmpl w:val="4A8425CE"/>
    <w:lvl w:ilvl="0" w:tplc="D0585FC4">
      <w:start w:val="1"/>
      <w:numFmt w:val="bullet"/>
      <w:lvlText w:val=""/>
      <w:lvlJc w:val="left"/>
      <w:pPr>
        <w:ind w:left="705"/>
      </w:pPr>
      <w:rPr>
        <w:rFonts w:ascii="Wingdings" w:eastAsia="Times New Roman" w:hAnsi="Wingdings"/>
        <w:b w:val="0"/>
        <w:i w:val="0"/>
        <w:strike w:val="0"/>
        <w:dstrike w:val="0"/>
        <w:color w:val="000000"/>
        <w:sz w:val="22"/>
        <w:u w:val="none" w:color="000000"/>
        <w:vertAlign w:val="baseline"/>
      </w:rPr>
    </w:lvl>
    <w:lvl w:ilvl="1" w:tplc="6D2214A2">
      <w:start w:val="1"/>
      <w:numFmt w:val="bullet"/>
      <w:lvlText w:val="o"/>
      <w:lvlJc w:val="left"/>
      <w:pPr>
        <w:ind w:left="1440"/>
      </w:pPr>
      <w:rPr>
        <w:rFonts w:ascii="Wingdings" w:eastAsia="Times New Roman" w:hAnsi="Wingdings"/>
        <w:b w:val="0"/>
        <w:i w:val="0"/>
        <w:strike w:val="0"/>
        <w:dstrike w:val="0"/>
        <w:color w:val="000000"/>
        <w:sz w:val="22"/>
        <w:u w:val="none" w:color="000000"/>
        <w:vertAlign w:val="baseline"/>
      </w:rPr>
    </w:lvl>
    <w:lvl w:ilvl="2" w:tplc="F9AA9A52">
      <w:start w:val="1"/>
      <w:numFmt w:val="bullet"/>
      <w:lvlText w:val="▪"/>
      <w:lvlJc w:val="left"/>
      <w:pPr>
        <w:ind w:left="2160"/>
      </w:pPr>
      <w:rPr>
        <w:rFonts w:ascii="Wingdings" w:eastAsia="Times New Roman" w:hAnsi="Wingdings"/>
        <w:b w:val="0"/>
        <w:i w:val="0"/>
        <w:strike w:val="0"/>
        <w:dstrike w:val="0"/>
        <w:color w:val="000000"/>
        <w:sz w:val="22"/>
        <w:u w:val="none" w:color="000000"/>
        <w:vertAlign w:val="baseline"/>
      </w:rPr>
    </w:lvl>
    <w:lvl w:ilvl="3" w:tplc="A928056A">
      <w:start w:val="1"/>
      <w:numFmt w:val="bullet"/>
      <w:lvlText w:val="•"/>
      <w:lvlJc w:val="left"/>
      <w:pPr>
        <w:ind w:left="2880"/>
      </w:pPr>
      <w:rPr>
        <w:rFonts w:ascii="Wingdings" w:eastAsia="Times New Roman" w:hAnsi="Wingdings"/>
        <w:b w:val="0"/>
        <w:i w:val="0"/>
        <w:strike w:val="0"/>
        <w:dstrike w:val="0"/>
        <w:color w:val="000000"/>
        <w:sz w:val="22"/>
        <w:u w:val="none" w:color="000000"/>
        <w:vertAlign w:val="baseline"/>
      </w:rPr>
    </w:lvl>
    <w:lvl w:ilvl="4" w:tplc="361EADEE">
      <w:start w:val="1"/>
      <w:numFmt w:val="bullet"/>
      <w:lvlText w:val="o"/>
      <w:lvlJc w:val="left"/>
      <w:pPr>
        <w:ind w:left="3600"/>
      </w:pPr>
      <w:rPr>
        <w:rFonts w:ascii="Wingdings" w:eastAsia="Times New Roman" w:hAnsi="Wingdings"/>
        <w:b w:val="0"/>
        <w:i w:val="0"/>
        <w:strike w:val="0"/>
        <w:dstrike w:val="0"/>
        <w:color w:val="000000"/>
        <w:sz w:val="22"/>
        <w:u w:val="none" w:color="000000"/>
        <w:vertAlign w:val="baseline"/>
      </w:rPr>
    </w:lvl>
    <w:lvl w:ilvl="5" w:tplc="116A7E86">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6" w:tplc="6840BD30">
      <w:start w:val="1"/>
      <w:numFmt w:val="bullet"/>
      <w:lvlText w:val="•"/>
      <w:lvlJc w:val="left"/>
      <w:pPr>
        <w:ind w:left="5040"/>
      </w:pPr>
      <w:rPr>
        <w:rFonts w:ascii="Wingdings" w:eastAsia="Times New Roman" w:hAnsi="Wingdings"/>
        <w:b w:val="0"/>
        <w:i w:val="0"/>
        <w:strike w:val="0"/>
        <w:dstrike w:val="0"/>
        <w:color w:val="000000"/>
        <w:sz w:val="22"/>
        <w:u w:val="none" w:color="000000"/>
        <w:vertAlign w:val="baseline"/>
      </w:rPr>
    </w:lvl>
    <w:lvl w:ilvl="7" w:tplc="519AF458">
      <w:start w:val="1"/>
      <w:numFmt w:val="bullet"/>
      <w:lvlText w:val="o"/>
      <w:lvlJc w:val="left"/>
      <w:pPr>
        <w:ind w:left="5760"/>
      </w:pPr>
      <w:rPr>
        <w:rFonts w:ascii="Wingdings" w:eastAsia="Times New Roman" w:hAnsi="Wingdings"/>
        <w:b w:val="0"/>
        <w:i w:val="0"/>
        <w:strike w:val="0"/>
        <w:dstrike w:val="0"/>
        <w:color w:val="000000"/>
        <w:sz w:val="22"/>
        <w:u w:val="none" w:color="000000"/>
        <w:vertAlign w:val="baseline"/>
      </w:rPr>
    </w:lvl>
    <w:lvl w:ilvl="8" w:tplc="6B7E1E28">
      <w:start w:val="1"/>
      <w:numFmt w:val="bullet"/>
      <w:lvlText w:val="▪"/>
      <w:lvlJc w:val="left"/>
      <w:pPr>
        <w:ind w:left="6480"/>
      </w:pPr>
      <w:rPr>
        <w:rFonts w:ascii="Wingdings" w:eastAsia="Times New Roman" w:hAnsi="Wingdings"/>
        <w:b w:val="0"/>
        <w:i w:val="0"/>
        <w:strike w:val="0"/>
        <w:dstrike w:val="0"/>
        <w:color w:val="000000"/>
        <w:sz w:val="22"/>
        <w:u w:val="none" w:color="000000"/>
        <w:vertAlign w:val="baseline"/>
      </w:rPr>
    </w:lvl>
  </w:abstractNum>
  <w:num w:numId="1">
    <w:abstractNumId w:val="12"/>
  </w:num>
  <w:num w:numId="2">
    <w:abstractNumId w:val="18"/>
  </w:num>
  <w:num w:numId="3">
    <w:abstractNumId w:val="2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5"/>
  </w:num>
  <w:num w:numId="18">
    <w:abstractNumId w:val="19"/>
  </w:num>
  <w:num w:numId="19">
    <w:abstractNumId w:val="20"/>
  </w:num>
  <w:num w:numId="20">
    <w:abstractNumId w:val="10"/>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F"/>
    <w:rsid w:val="000A70C3"/>
    <w:rsid w:val="00125B94"/>
    <w:rsid w:val="001E1E72"/>
    <w:rsid w:val="0022044C"/>
    <w:rsid w:val="002A5BEC"/>
    <w:rsid w:val="002D2461"/>
    <w:rsid w:val="00343B77"/>
    <w:rsid w:val="00380727"/>
    <w:rsid w:val="003B72B1"/>
    <w:rsid w:val="00400091"/>
    <w:rsid w:val="00405CE6"/>
    <w:rsid w:val="00430A36"/>
    <w:rsid w:val="00456C48"/>
    <w:rsid w:val="00480E8B"/>
    <w:rsid w:val="004B0388"/>
    <w:rsid w:val="004B532F"/>
    <w:rsid w:val="004C06E5"/>
    <w:rsid w:val="004D1465"/>
    <w:rsid w:val="00531B0A"/>
    <w:rsid w:val="00533F81"/>
    <w:rsid w:val="00534F58"/>
    <w:rsid w:val="005853EA"/>
    <w:rsid w:val="005F4AD3"/>
    <w:rsid w:val="005F64F1"/>
    <w:rsid w:val="006630C9"/>
    <w:rsid w:val="006809AE"/>
    <w:rsid w:val="006C7F97"/>
    <w:rsid w:val="00711329"/>
    <w:rsid w:val="00740DF8"/>
    <w:rsid w:val="0074564A"/>
    <w:rsid w:val="00754813"/>
    <w:rsid w:val="00762826"/>
    <w:rsid w:val="007678E6"/>
    <w:rsid w:val="0078072D"/>
    <w:rsid w:val="00791554"/>
    <w:rsid w:val="007B56A3"/>
    <w:rsid w:val="007C46A3"/>
    <w:rsid w:val="008203C9"/>
    <w:rsid w:val="008D42FF"/>
    <w:rsid w:val="00902710"/>
    <w:rsid w:val="00957711"/>
    <w:rsid w:val="00972569"/>
    <w:rsid w:val="00996368"/>
    <w:rsid w:val="00A16F44"/>
    <w:rsid w:val="00A568EE"/>
    <w:rsid w:val="00A90093"/>
    <w:rsid w:val="00AF0E00"/>
    <w:rsid w:val="00BA5CAA"/>
    <w:rsid w:val="00BB02C9"/>
    <w:rsid w:val="00BB7004"/>
    <w:rsid w:val="00C4268C"/>
    <w:rsid w:val="00C65C6F"/>
    <w:rsid w:val="00C7527C"/>
    <w:rsid w:val="00C927DB"/>
    <w:rsid w:val="00CC7BA5"/>
    <w:rsid w:val="00CD2EDD"/>
    <w:rsid w:val="00CD3E0F"/>
    <w:rsid w:val="00CE42D4"/>
    <w:rsid w:val="00D11BD5"/>
    <w:rsid w:val="00D12C92"/>
    <w:rsid w:val="00D364E1"/>
    <w:rsid w:val="00D93E56"/>
    <w:rsid w:val="00E71E3D"/>
    <w:rsid w:val="00E8231F"/>
    <w:rsid w:val="00EA1643"/>
    <w:rsid w:val="00F16778"/>
    <w:rsid w:val="00F47502"/>
    <w:rsid w:val="00F66DC8"/>
    <w:rsid w:val="00F66FF8"/>
    <w:rsid w:val="00F83920"/>
    <w:rsid w:val="00F86AE9"/>
    <w:rsid w:val="00FD3462"/>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paragraph" w:styleId="ListParagraph">
    <w:name w:val="List Paragraph"/>
    <w:basedOn w:val="Normal"/>
    <w:uiPriority w:val="34"/>
    <w:qFormat/>
    <w:rsid w:val="00400091"/>
    <w:pPr>
      <w:ind w:left="720"/>
      <w:contextualSpacing/>
    </w:pPr>
  </w:style>
  <w:style w:type="character" w:styleId="CommentReference">
    <w:name w:val="annotation reference"/>
    <w:basedOn w:val="DefaultParagraphFont"/>
    <w:uiPriority w:val="99"/>
    <w:semiHidden/>
    <w:unhideWhenUsed/>
    <w:rsid w:val="005F64F1"/>
    <w:rPr>
      <w:sz w:val="16"/>
      <w:szCs w:val="16"/>
    </w:rPr>
  </w:style>
  <w:style w:type="paragraph" w:styleId="CommentText">
    <w:name w:val="annotation text"/>
    <w:basedOn w:val="Normal"/>
    <w:link w:val="CommentTextChar"/>
    <w:uiPriority w:val="99"/>
    <w:semiHidden/>
    <w:unhideWhenUsed/>
    <w:rsid w:val="005F64F1"/>
    <w:pPr>
      <w:spacing w:line="240" w:lineRule="auto"/>
    </w:pPr>
    <w:rPr>
      <w:sz w:val="20"/>
      <w:szCs w:val="20"/>
    </w:rPr>
  </w:style>
  <w:style w:type="character" w:customStyle="1" w:styleId="CommentTextChar">
    <w:name w:val="Comment Text Char"/>
    <w:basedOn w:val="DefaultParagraphFont"/>
    <w:link w:val="CommentText"/>
    <w:uiPriority w:val="99"/>
    <w:semiHidden/>
    <w:rsid w:val="005F64F1"/>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F64F1"/>
    <w:rPr>
      <w:b/>
      <w:bCs/>
    </w:rPr>
  </w:style>
  <w:style w:type="character" w:customStyle="1" w:styleId="CommentSubjectChar">
    <w:name w:val="Comment Subject Char"/>
    <w:basedOn w:val="CommentTextChar"/>
    <w:link w:val="CommentSubject"/>
    <w:uiPriority w:val="99"/>
    <w:semiHidden/>
    <w:rsid w:val="005F64F1"/>
    <w:rPr>
      <w:rFonts w:cs="Calibri"/>
      <w:b/>
      <w:bCs/>
      <w:color w:val="000000"/>
      <w:sz w:val="20"/>
      <w:szCs w:val="20"/>
    </w:rPr>
  </w:style>
  <w:style w:type="paragraph" w:styleId="BalloonText">
    <w:name w:val="Balloon Text"/>
    <w:basedOn w:val="Normal"/>
    <w:link w:val="BalloonTextChar"/>
    <w:uiPriority w:val="99"/>
    <w:semiHidden/>
    <w:unhideWhenUsed/>
    <w:rsid w:val="005F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F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paragraph" w:styleId="ListParagraph">
    <w:name w:val="List Paragraph"/>
    <w:basedOn w:val="Normal"/>
    <w:uiPriority w:val="34"/>
    <w:qFormat/>
    <w:rsid w:val="00400091"/>
    <w:pPr>
      <w:ind w:left="720"/>
      <w:contextualSpacing/>
    </w:pPr>
  </w:style>
  <w:style w:type="character" w:styleId="CommentReference">
    <w:name w:val="annotation reference"/>
    <w:basedOn w:val="DefaultParagraphFont"/>
    <w:uiPriority w:val="99"/>
    <w:semiHidden/>
    <w:unhideWhenUsed/>
    <w:rsid w:val="005F64F1"/>
    <w:rPr>
      <w:sz w:val="16"/>
      <w:szCs w:val="16"/>
    </w:rPr>
  </w:style>
  <w:style w:type="paragraph" w:styleId="CommentText">
    <w:name w:val="annotation text"/>
    <w:basedOn w:val="Normal"/>
    <w:link w:val="CommentTextChar"/>
    <w:uiPriority w:val="99"/>
    <w:semiHidden/>
    <w:unhideWhenUsed/>
    <w:rsid w:val="005F64F1"/>
    <w:pPr>
      <w:spacing w:line="240" w:lineRule="auto"/>
    </w:pPr>
    <w:rPr>
      <w:sz w:val="20"/>
      <w:szCs w:val="20"/>
    </w:rPr>
  </w:style>
  <w:style w:type="character" w:customStyle="1" w:styleId="CommentTextChar">
    <w:name w:val="Comment Text Char"/>
    <w:basedOn w:val="DefaultParagraphFont"/>
    <w:link w:val="CommentText"/>
    <w:uiPriority w:val="99"/>
    <w:semiHidden/>
    <w:rsid w:val="005F64F1"/>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F64F1"/>
    <w:rPr>
      <w:b/>
      <w:bCs/>
    </w:rPr>
  </w:style>
  <w:style w:type="character" w:customStyle="1" w:styleId="CommentSubjectChar">
    <w:name w:val="Comment Subject Char"/>
    <w:basedOn w:val="CommentTextChar"/>
    <w:link w:val="CommentSubject"/>
    <w:uiPriority w:val="99"/>
    <w:semiHidden/>
    <w:rsid w:val="005F64F1"/>
    <w:rPr>
      <w:rFonts w:cs="Calibri"/>
      <w:b/>
      <w:bCs/>
      <w:color w:val="000000"/>
      <w:sz w:val="20"/>
      <w:szCs w:val="20"/>
    </w:rPr>
  </w:style>
  <w:style w:type="paragraph" w:styleId="BalloonText">
    <w:name w:val="Balloon Text"/>
    <w:basedOn w:val="Normal"/>
    <w:link w:val="BalloonTextChar"/>
    <w:uiPriority w:val="99"/>
    <w:semiHidden/>
    <w:unhideWhenUsed/>
    <w:rsid w:val="005F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F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6125</Characters>
  <Application>Microsoft Office Word</Application>
  <DocSecurity>0</DocSecurity>
  <Lines>136</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Woo</dc:creator>
  <cp:lastModifiedBy>Denise Lin-DeShetler</cp:lastModifiedBy>
  <cp:revision>2</cp:revision>
  <cp:lastPrinted>2015-02-24T19:26:00Z</cp:lastPrinted>
  <dcterms:created xsi:type="dcterms:W3CDTF">2016-06-06T21:22:00Z</dcterms:created>
  <dcterms:modified xsi:type="dcterms:W3CDTF">2016-06-06T21:22:00Z</dcterms:modified>
</cp:coreProperties>
</file>